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864BB" w14:textId="350DA88C" w:rsidR="0059043D" w:rsidRPr="00BD3AB9" w:rsidRDefault="0059043D" w:rsidP="0059043D">
      <w:pPr>
        <w:spacing w:before="63" w:line="264" w:lineRule="exact"/>
        <w:ind w:right="293"/>
        <w:jc w:val="center"/>
        <w:rPr>
          <w:rFonts w:ascii="Times New Roman" w:eastAsia="Century Schoolbook" w:hAnsi="Times New Roman" w:cs="Times New Roman"/>
        </w:rPr>
      </w:pPr>
    </w:p>
    <w:p w14:paraId="460640E0" w14:textId="1F35060F" w:rsidR="382AB7A6" w:rsidRDefault="382AB7A6" w:rsidP="382AB7A6">
      <w:pPr>
        <w:spacing w:before="63" w:line="264" w:lineRule="exact"/>
        <w:ind w:right="293"/>
        <w:jc w:val="center"/>
        <w:rPr>
          <w:rFonts w:ascii="Times New Roman" w:eastAsia="Century Schoolbook" w:hAnsi="Times New Roman" w:cs="Times New Roman"/>
        </w:rPr>
      </w:pPr>
    </w:p>
    <w:p w14:paraId="1A7D9E86" w14:textId="3D6CD1E5" w:rsidR="09F11E5C" w:rsidRDefault="09F11E5C" w:rsidP="09F11E5C">
      <w:pPr>
        <w:spacing w:before="63" w:line="264" w:lineRule="exact"/>
        <w:ind w:right="293"/>
        <w:jc w:val="center"/>
        <w:rPr>
          <w:rFonts w:ascii="Times New Roman" w:eastAsia="Century Schoolbook" w:hAnsi="Times New Roman" w:cs="Times New Roman"/>
        </w:rPr>
      </w:pPr>
    </w:p>
    <w:p w14:paraId="561D1606" w14:textId="77777777" w:rsidR="0059043D" w:rsidRPr="00BD3AB9" w:rsidRDefault="0059043D" w:rsidP="0059043D">
      <w:pPr>
        <w:spacing w:before="63" w:line="264" w:lineRule="exact"/>
        <w:ind w:right="293"/>
        <w:jc w:val="center"/>
        <w:rPr>
          <w:rFonts w:ascii="Times New Roman" w:eastAsia="Century Schoolbook" w:hAnsi="Times New Roman" w:cs="Times New Roman"/>
        </w:rPr>
      </w:pPr>
    </w:p>
    <w:p w14:paraId="34E2D7F2" w14:textId="77777777" w:rsidR="0059043D" w:rsidRPr="00BD3AB9" w:rsidRDefault="0059043D" w:rsidP="0059043D">
      <w:pPr>
        <w:spacing w:before="63" w:line="264" w:lineRule="exact"/>
        <w:ind w:right="293"/>
        <w:jc w:val="center"/>
        <w:rPr>
          <w:rFonts w:ascii="Times New Roman" w:eastAsia="Century Schoolbook" w:hAnsi="Times New Roman" w:cs="Times New Roman"/>
        </w:rPr>
      </w:pPr>
    </w:p>
    <w:p w14:paraId="7D832ABD" w14:textId="77777777" w:rsidR="0059043D" w:rsidRPr="00BD3AB9" w:rsidRDefault="0059043D" w:rsidP="0059043D">
      <w:pPr>
        <w:spacing w:before="63" w:line="264" w:lineRule="exact"/>
        <w:ind w:right="293"/>
        <w:jc w:val="center"/>
        <w:rPr>
          <w:rFonts w:ascii="Times New Roman" w:eastAsia="Century Schoolbook" w:hAnsi="Times New Roman" w:cs="Times New Roman"/>
        </w:rPr>
      </w:pPr>
    </w:p>
    <w:p w14:paraId="2C0B8DF8" w14:textId="6AD245F6" w:rsidR="0059043D" w:rsidRPr="00BD3AB9" w:rsidRDefault="0059043D" w:rsidP="0059043D">
      <w:pPr>
        <w:spacing w:before="63" w:line="264" w:lineRule="exact"/>
        <w:ind w:right="293"/>
        <w:jc w:val="center"/>
        <w:rPr>
          <w:rFonts w:ascii="Times New Roman" w:eastAsia="Century Schoolbook" w:hAnsi="Times New Roman" w:cs="Times New Roman"/>
          <w:sz w:val="26"/>
          <w:szCs w:val="26"/>
        </w:rPr>
      </w:pPr>
      <w:r w:rsidRPr="00BD3AB9">
        <w:rPr>
          <w:rFonts w:ascii="Times New Roman" w:eastAsia="Century Schoolbook" w:hAnsi="Times New Roman" w:cs="Times New Roman"/>
          <w:sz w:val="26"/>
          <w:szCs w:val="26"/>
        </w:rPr>
        <w:t>INTERNATIONAL</w:t>
      </w:r>
      <w:r w:rsidRPr="00BD3AB9">
        <w:rPr>
          <w:rFonts w:ascii="Times New Roman" w:eastAsia="Century Schoolbook" w:hAnsi="Times New Roman" w:cs="Times New Roman"/>
          <w:spacing w:val="-20"/>
          <w:sz w:val="26"/>
          <w:szCs w:val="26"/>
        </w:rPr>
        <w:t xml:space="preserve"> </w:t>
      </w:r>
      <w:r w:rsidRPr="00BD3AB9">
        <w:rPr>
          <w:rFonts w:ascii="Times New Roman" w:eastAsia="Century Schoolbook" w:hAnsi="Times New Roman" w:cs="Times New Roman"/>
          <w:sz w:val="26"/>
          <w:szCs w:val="26"/>
        </w:rPr>
        <w:t>CO</w:t>
      </w:r>
      <w:r w:rsidR="00ED437A">
        <w:rPr>
          <w:rFonts w:ascii="Times New Roman" w:eastAsia="Century Schoolbook" w:hAnsi="Times New Roman" w:cs="Times New Roman"/>
          <w:sz w:val="26"/>
          <w:szCs w:val="26"/>
        </w:rPr>
        <w:t>U</w:t>
      </w:r>
      <w:r w:rsidRPr="00BD3AB9">
        <w:rPr>
          <w:rFonts w:ascii="Times New Roman" w:eastAsia="Century Schoolbook" w:hAnsi="Times New Roman" w:cs="Times New Roman"/>
          <w:sz w:val="26"/>
          <w:szCs w:val="26"/>
        </w:rPr>
        <w:t>NCIL FOR</w:t>
      </w:r>
      <w:r w:rsidRPr="00BD3AB9">
        <w:rPr>
          <w:rFonts w:ascii="Times New Roman" w:eastAsia="Century Schoolbook" w:hAnsi="Times New Roman" w:cs="Times New Roman"/>
          <w:spacing w:val="-3"/>
          <w:sz w:val="26"/>
          <w:szCs w:val="26"/>
        </w:rPr>
        <w:t xml:space="preserve"> </w:t>
      </w:r>
      <w:r w:rsidRPr="00BD3AB9">
        <w:rPr>
          <w:rFonts w:ascii="Times New Roman" w:eastAsia="Century Schoolbook" w:hAnsi="Times New Roman" w:cs="Times New Roman"/>
          <w:sz w:val="26"/>
          <w:szCs w:val="26"/>
        </w:rPr>
        <w:t>HARMONISATION</w:t>
      </w:r>
      <w:r w:rsidRPr="00BD3AB9">
        <w:rPr>
          <w:rFonts w:ascii="Times New Roman" w:eastAsia="Century Schoolbook" w:hAnsi="Times New Roman" w:cs="Times New Roman"/>
          <w:spacing w:val="-20"/>
          <w:sz w:val="26"/>
          <w:szCs w:val="26"/>
        </w:rPr>
        <w:t xml:space="preserve"> </w:t>
      </w:r>
      <w:r w:rsidRPr="00BD3AB9">
        <w:rPr>
          <w:rFonts w:ascii="Times New Roman" w:eastAsia="Century Schoolbook" w:hAnsi="Times New Roman" w:cs="Times New Roman"/>
          <w:sz w:val="26"/>
          <w:szCs w:val="26"/>
        </w:rPr>
        <w:t>OF</w:t>
      </w:r>
      <w:r w:rsidRPr="00BD3AB9">
        <w:rPr>
          <w:rFonts w:ascii="Times New Roman" w:eastAsia="Century Schoolbook" w:hAnsi="Times New Roman" w:cs="Times New Roman"/>
          <w:spacing w:val="-3"/>
          <w:sz w:val="26"/>
          <w:szCs w:val="26"/>
        </w:rPr>
        <w:t xml:space="preserve"> </w:t>
      </w:r>
      <w:r w:rsidRPr="00BD3AB9">
        <w:rPr>
          <w:rFonts w:ascii="Times New Roman" w:eastAsia="Century Schoolbook" w:hAnsi="Times New Roman" w:cs="Times New Roman"/>
          <w:sz w:val="26"/>
          <w:szCs w:val="26"/>
        </w:rPr>
        <w:t>TECHNICAL REQUIREMENTS</w:t>
      </w:r>
      <w:r w:rsidRPr="00BD3AB9">
        <w:rPr>
          <w:rFonts w:ascii="Times New Roman" w:eastAsia="Century Schoolbook" w:hAnsi="Times New Roman" w:cs="Times New Roman"/>
          <w:spacing w:val="-19"/>
          <w:sz w:val="26"/>
          <w:szCs w:val="26"/>
        </w:rPr>
        <w:t xml:space="preserve"> </w:t>
      </w:r>
      <w:r w:rsidRPr="00BD3AB9">
        <w:rPr>
          <w:rFonts w:ascii="Times New Roman" w:eastAsia="Century Schoolbook" w:hAnsi="Times New Roman" w:cs="Times New Roman"/>
          <w:sz w:val="26"/>
          <w:szCs w:val="26"/>
        </w:rPr>
        <w:t>FOR</w:t>
      </w:r>
      <w:r w:rsidRPr="00BD3AB9">
        <w:rPr>
          <w:rFonts w:ascii="Times New Roman" w:eastAsia="Century Schoolbook" w:hAnsi="Times New Roman" w:cs="Times New Roman"/>
          <w:spacing w:val="-5"/>
          <w:sz w:val="26"/>
          <w:szCs w:val="26"/>
        </w:rPr>
        <w:t xml:space="preserve"> </w:t>
      </w:r>
      <w:r w:rsidRPr="00BD3AB9">
        <w:rPr>
          <w:rFonts w:ascii="Times New Roman" w:eastAsia="Century Schoolbook" w:hAnsi="Times New Roman" w:cs="Times New Roman"/>
          <w:sz w:val="26"/>
          <w:szCs w:val="26"/>
        </w:rPr>
        <w:t>PHARMACEUTICALS</w:t>
      </w:r>
      <w:r w:rsidRPr="00BD3AB9">
        <w:rPr>
          <w:rFonts w:ascii="Times New Roman" w:eastAsia="Century Schoolbook" w:hAnsi="Times New Roman" w:cs="Times New Roman"/>
          <w:spacing w:val="-23"/>
          <w:sz w:val="26"/>
          <w:szCs w:val="26"/>
        </w:rPr>
        <w:t xml:space="preserve"> </w:t>
      </w:r>
      <w:r w:rsidRPr="00BD3AB9">
        <w:rPr>
          <w:rFonts w:ascii="Times New Roman" w:eastAsia="Century Schoolbook" w:hAnsi="Times New Roman" w:cs="Times New Roman"/>
          <w:sz w:val="26"/>
          <w:szCs w:val="26"/>
        </w:rPr>
        <w:t>FOR</w:t>
      </w:r>
      <w:r w:rsidRPr="00BD3AB9">
        <w:rPr>
          <w:rFonts w:ascii="Times New Roman" w:eastAsia="Century Schoolbook" w:hAnsi="Times New Roman" w:cs="Times New Roman"/>
          <w:spacing w:val="-5"/>
          <w:sz w:val="26"/>
          <w:szCs w:val="26"/>
        </w:rPr>
        <w:t xml:space="preserve"> </w:t>
      </w:r>
      <w:r w:rsidRPr="00BD3AB9">
        <w:rPr>
          <w:rFonts w:ascii="Times New Roman" w:eastAsia="Century Schoolbook" w:hAnsi="Times New Roman" w:cs="Times New Roman"/>
          <w:sz w:val="26"/>
          <w:szCs w:val="26"/>
        </w:rPr>
        <w:t>HUMAN USE</w:t>
      </w:r>
    </w:p>
    <w:p w14:paraId="52523FEE" w14:textId="77777777" w:rsidR="0059043D" w:rsidRPr="00BD3AB9" w:rsidRDefault="0059043D" w:rsidP="0059043D">
      <w:pPr>
        <w:spacing w:line="276" w:lineRule="auto"/>
        <w:jc w:val="left"/>
        <w:rPr>
          <w:rFonts w:ascii="Times New Roman" w:hAnsi="Times New Roman" w:cs="Times New Roman"/>
          <w:kern w:val="0"/>
          <w:szCs w:val="24"/>
        </w:rPr>
      </w:pPr>
    </w:p>
    <w:p w14:paraId="386B6953" w14:textId="77777777" w:rsidR="0059043D" w:rsidRPr="00BD3AB9" w:rsidRDefault="0059043D" w:rsidP="0059043D">
      <w:pPr>
        <w:spacing w:line="276" w:lineRule="auto"/>
        <w:jc w:val="left"/>
        <w:rPr>
          <w:rFonts w:ascii="Times New Roman" w:hAnsi="Times New Roman" w:cs="Times New Roman"/>
          <w:kern w:val="0"/>
          <w:szCs w:val="24"/>
        </w:rPr>
      </w:pPr>
    </w:p>
    <w:p w14:paraId="0BB46328" w14:textId="77777777" w:rsidR="0059043D" w:rsidRPr="00BD3AB9" w:rsidRDefault="0059043D" w:rsidP="00BD3AB9">
      <w:pPr>
        <w:ind w:left="1662" w:right="1657"/>
        <w:jc w:val="center"/>
        <w:rPr>
          <w:rFonts w:ascii="Times New Roman" w:eastAsia="Century Schoolbook" w:hAnsi="Times New Roman" w:cs="Times New Roman"/>
          <w:b/>
          <w:bCs/>
          <w:sz w:val="24"/>
          <w:szCs w:val="24"/>
        </w:rPr>
      </w:pPr>
      <w:r w:rsidRPr="00BD3AB9">
        <w:rPr>
          <w:rFonts w:ascii="Times New Roman" w:eastAsia="Century Schoolbook" w:hAnsi="Times New Roman" w:cs="Times New Roman"/>
          <w:b/>
          <w:bCs/>
          <w:sz w:val="24"/>
          <w:szCs w:val="24"/>
        </w:rPr>
        <w:t>ICH HARMONISED GUIDELINE</w:t>
      </w:r>
    </w:p>
    <w:p w14:paraId="224CAC62" w14:textId="77777777" w:rsidR="0059043D" w:rsidRDefault="0059043D" w:rsidP="0059043D">
      <w:pPr>
        <w:autoSpaceDE w:val="0"/>
        <w:autoSpaceDN w:val="0"/>
        <w:adjustRightInd w:val="0"/>
        <w:spacing w:line="276" w:lineRule="auto"/>
        <w:jc w:val="center"/>
        <w:rPr>
          <w:rFonts w:ascii="Times New Roman" w:hAnsi="Times New Roman" w:cs="Times New Roman"/>
          <w:kern w:val="0"/>
          <w:sz w:val="40"/>
          <w:szCs w:val="40"/>
        </w:rPr>
      </w:pPr>
    </w:p>
    <w:p w14:paraId="727DDD93" w14:textId="77777777" w:rsidR="00BD3AB9" w:rsidRPr="00BD3AB9" w:rsidRDefault="00BD3AB9" w:rsidP="0059043D">
      <w:pPr>
        <w:autoSpaceDE w:val="0"/>
        <w:autoSpaceDN w:val="0"/>
        <w:adjustRightInd w:val="0"/>
        <w:spacing w:line="276" w:lineRule="auto"/>
        <w:jc w:val="center"/>
        <w:rPr>
          <w:rFonts w:ascii="Times New Roman" w:hAnsi="Times New Roman" w:cs="Times New Roman"/>
          <w:kern w:val="0"/>
          <w:sz w:val="40"/>
          <w:szCs w:val="40"/>
        </w:rPr>
      </w:pPr>
    </w:p>
    <w:p w14:paraId="61AA5686" w14:textId="4230D229" w:rsidR="0059043D" w:rsidRPr="00902799" w:rsidRDefault="00902799" w:rsidP="0059043D">
      <w:pPr>
        <w:widowControl/>
        <w:jc w:val="center"/>
        <w:rPr>
          <w:rFonts w:ascii="Times New Roman" w:eastAsia="Century Schoolbook" w:hAnsi="Times New Roman" w:cs="Times New Roman"/>
          <w:b/>
          <w:bCs/>
          <w:smallCaps/>
          <w:sz w:val="36"/>
          <w:szCs w:val="36"/>
        </w:rPr>
      </w:pPr>
      <w:r w:rsidRPr="00902799">
        <w:rPr>
          <w:rFonts w:ascii="Times New Roman" w:eastAsia="Century Schoolbook" w:hAnsi="Times New Roman" w:cs="Times New Roman"/>
          <w:b/>
          <w:bCs/>
          <w:smallCaps/>
          <w:sz w:val="36"/>
          <w:szCs w:val="36"/>
        </w:rPr>
        <w:t>Guideline for Extractables and leachables</w:t>
      </w:r>
    </w:p>
    <w:p w14:paraId="5EC631E9" w14:textId="611092B6" w:rsidR="0059043D" w:rsidRPr="00BD3AB9" w:rsidRDefault="002850D0" w:rsidP="0059043D">
      <w:pPr>
        <w:jc w:val="center"/>
        <w:rPr>
          <w:rFonts w:ascii="Times New Roman" w:eastAsia="Century Schoolbook" w:hAnsi="Times New Roman" w:cs="Times New Roman"/>
          <w:b/>
          <w:bCs/>
          <w:sz w:val="36"/>
          <w:szCs w:val="36"/>
        </w:rPr>
      </w:pPr>
      <w:r>
        <w:rPr>
          <w:rFonts w:ascii="Times New Roman" w:eastAsia="Century Schoolbook" w:hAnsi="Times New Roman" w:cs="Times New Roman"/>
          <w:b/>
          <w:bCs/>
          <w:sz w:val="36"/>
          <w:szCs w:val="36"/>
        </w:rPr>
        <w:t>Q3E</w:t>
      </w:r>
    </w:p>
    <w:p w14:paraId="7475B2AD" w14:textId="77777777" w:rsidR="00BD3AB9" w:rsidRDefault="0059043D" w:rsidP="0059043D">
      <w:pPr>
        <w:spacing w:line="348" w:lineRule="auto"/>
        <w:ind w:right="44"/>
        <w:jc w:val="center"/>
        <w:rPr>
          <w:rFonts w:ascii="Times New Roman" w:eastAsia="Century Schoolbook" w:hAnsi="Times New Roman" w:cs="Times New Roman"/>
          <w:sz w:val="24"/>
          <w:szCs w:val="24"/>
        </w:rPr>
      </w:pPr>
      <w:r w:rsidRPr="00BD3AB9">
        <w:rPr>
          <w:rFonts w:ascii="Times New Roman" w:eastAsia="Century Schoolbook" w:hAnsi="Times New Roman" w:cs="Times New Roman"/>
          <w:szCs w:val="24"/>
        </w:rPr>
        <w:br/>
      </w:r>
    </w:p>
    <w:p w14:paraId="62547A6D" w14:textId="1AD0C1D4" w:rsidR="0059043D" w:rsidRPr="00BD3AB9" w:rsidRDefault="0059043D" w:rsidP="0059043D">
      <w:pPr>
        <w:spacing w:line="348" w:lineRule="auto"/>
        <w:ind w:right="44"/>
        <w:jc w:val="center"/>
        <w:rPr>
          <w:rFonts w:ascii="Times New Roman" w:eastAsia="Century Schoolbook" w:hAnsi="Times New Roman" w:cs="Times New Roman"/>
          <w:sz w:val="24"/>
          <w:szCs w:val="24"/>
        </w:rPr>
      </w:pPr>
      <w:r w:rsidRPr="00BD3AB9">
        <w:rPr>
          <w:rFonts w:ascii="Times New Roman" w:eastAsia="Century Schoolbook" w:hAnsi="Times New Roman" w:cs="Times New Roman"/>
          <w:sz w:val="24"/>
          <w:szCs w:val="24"/>
        </w:rPr>
        <w:t>Draft</w:t>
      </w:r>
      <w:r w:rsidRPr="001B2A53">
        <w:rPr>
          <w:rFonts w:ascii="Times New Roman" w:eastAsia="Century Schoolbook" w:hAnsi="Times New Roman" w:cs="Times New Roman"/>
          <w:sz w:val="24"/>
          <w:szCs w:val="24"/>
        </w:rPr>
        <w:t xml:space="preserve"> version</w:t>
      </w:r>
      <w:r w:rsidRPr="00BD3AB9">
        <w:rPr>
          <w:rFonts w:ascii="Times New Roman" w:eastAsia="Century Schoolbook" w:hAnsi="Times New Roman" w:cs="Times New Roman"/>
          <w:w w:val="99"/>
          <w:sz w:val="24"/>
          <w:szCs w:val="24"/>
        </w:rPr>
        <w:t xml:space="preserve"> </w:t>
      </w:r>
      <w:r w:rsidRPr="00BD3AB9">
        <w:rPr>
          <w:rFonts w:ascii="Times New Roman" w:eastAsia="Century Schoolbook" w:hAnsi="Times New Roman" w:cs="Times New Roman"/>
          <w:w w:val="99"/>
          <w:sz w:val="24"/>
          <w:szCs w:val="24"/>
        </w:rPr>
        <w:br/>
      </w:r>
      <w:r w:rsidRPr="00110BD0">
        <w:rPr>
          <w:rFonts w:ascii="Times New Roman" w:eastAsia="Century Schoolbook" w:hAnsi="Times New Roman" w:cs="Times New Roman"/>
          <w:sz w:val="24"/>
          <w:szCs w:val="24"/>
        </w:rPr>
        <w:t>Endorsed on</w:t>
      </w:r>
      <w:r w:rsidRPr="00110BD0">
        <w:rPr>
          <w:rFonts w:ascii="Times New Roman" w:eastAsia="Century Schoolbook" w:hAnsi="Times New Roman" w:cs="Times New Roman"/>
          <w:spacing w:val="-6"/>
          <w:sz w:val="24"/>
          <w:szCs w:val="24"/>
        </w:rPr>
        <w:t xml:space="preserve"> </w:t>
      </w:r>
      <w:r w:rsidR="009C76D3" w:rsidRPr="009C76D3">
        <w:rPr>
          <w:rFonts w:ascii="Times New Roman" w:eastAsia="Century Schoolbook" w:hAnsi="Times New Roman" w:cs="Times New Roman"/>
          <w:sz w:val="24"/>
          <w:szCs w:val="24"/>
        </w:rPr>
        <w:t>01</w:t>
      </w:r>
      <w:r w:rsidR="00237EFC" w:rsidRPr="009C76D3">
        <w:rPr>
          <w:rFonts w:ascii="Times New Roman" w:eastAsia="Century Schoolbook" w:hAnsi="Times New Roman" w:cs="Times New Roman"/>
          <w:sz w:val="24"/>
          <w:szCs w:val="24"/>
        </w:rPr>
        <w:t xml:space="preserve"> </w:t>
      </w:r>
      <w:r w:rsidR="009C76D3">
        <w:rPr>
          <w:rFonts w:ascii="Times New Roman" w:eastAsia="Century Schoolbook" w:hAnsi="Times New Roman" w:cs="Times New Roman"/>
          <w:sz w:val="24"/>
          <w:szCs w:val="24"/>
        </w:rPr>
        <w:t>August</w:t>
      </w:r>
      <w:r w:rsidRPr="00110BD0">
        <w:rPr>
          <w:rFonts w:ascii="Times New Roman" w:eastAsia="Century Schoolbook" w:hAnsi="Times New Roman" w:cs="Times New Roman"/>
          <w:sz w:val="24"/>
          <w:szCs w:val="24"/>
        </w:rPr>
        <w:t xml:space="preserve"> </w:t>
      </w:r>
      <w:r w:rsidR="00110BD0" w:rsidRPr="00110BD0">
        <w:rPr>
          <w:rFonts w:ascii="Times New Roman" w:eastAsia="Century Schoolbook" w:hAnsi="Times New Roman" w:cs="Times New Roman"/>
          <w:sz w:val="24"/>
          <w:szCs w:val="24"/>
        </w:rPr>
        <w:t>2025</w:t>
      </w:r>
    </w:p>
    <w:p w14:paraId="5DE990DF" w14:textId="77777777" w:rsidR="0059043D" w:rsidRPr="001B2A53" w:rsidRDefault="0059043D" w:rsidP="0059043D">
      <w:pPr>
        <w:spacing w:line="348" w:lineRule="auto"/>
        <w:ind w:right="44"/>
        <w:jc w:val="center"/>
        <w:rPr>
          <w:rFonts w:ascii="Times New Roman" w:eastAsia="Century Schoolbook" w:hAnsi="Times New Roman" w:cs="Times New Roman"/>
          <w:i/>
          <w:sz w:val="24"/>
          <w:szCs w:val="24"/>
        </w:rPr>
      </w:pPr>
      <w:r w:rsidRPr="001B2A53">
        <w:rPr>
          <w:rFonts w:ascii="Times New Roman" w:eastAsia="Century Schoolbook" w:hAnsi="Times New Roman" w:cs="Times New Roman"/>
          <w:i/>
          <w:sz w:val="24"/>
          <w:szCs w:val="24"/>
        </w:rPr>
        <w:t>Currently under public consultation</w:t>
      </w:r>
    </w:p>
    <w:p w14:paraId="64679CB7" w14:textId="77777777" w:rsidR="0059043D" w:rsidRPr="00BD3AB9" w:rsidRDefault="0059043D" w:rsidP="0059043D">
      <w:pPr>
        <w:spacing w:line="276" w:lineRule="auto"/>
        <w:jc w:val="center"/>
        <w:rPr>
          <w:rFonts w:ascii="Times New Roman" w:hAnsi="Times New Roman" w:cs="Times New Roman"/>
          <w:bCs/>
          <w:kern w:val="0"/>
          <w:sz w:val="40"/>
          <w:szCs w:val="40"/>
        </w:rPr>
      </w:pPr>
    </w:p>
    <w:p w14:paraId="75F41349" w14:textId="77777777" w:rsidR="0059043D" w:rsidRPr="00BD3AB9" w:rsidRDefault="0059043D" w:rsidP="0059043D">
      <w:pPr>
        <w:spacing w:line="276" w:lineRule="auto"/>
        <w:jc w:val="center"/>
        <w:rPr>
          <w:rFonts w:ascii="Times New Roman" w:hAnsi="Times New Roman" w:cs="Times New Roman"/>
          <w:bCs/>
          <w:kern w:val="0"/>
          <w:sz w:val="40"/>
          <w:szCs w:val="40"/>
        </w:rPr>
      </w:pPr>
    </w:p>
    <w:p w14:paraId="2F94CC8F" w14:textId="77777777" w:rsidR="0059043D" w:rsidRPr="00BD3AB9" w:rsidRDefault="0059043D" w:rsidP="0059043D">
      <w:pPr>
        <w:spacing w:line="276" w:lineRule="auto"/>
        <w:jc w:val="center"/>
        <w:rPr>
          <w:rFonts w:ascii="Times New Roman" w:hAnsi="Times New Roman" w:cs="Times New Roman"/>
          <w:bCs/>
          <w:kern w:val="0"/>
          <w:sz w:val="40"/>
          <w:szCs w:val="40"/>
        </w:rPr>
      </w:pPr>
    </w:p>
    <w:p w14:paraId="7A78594C" w14:textId="77777777" w:rsidR="0059043D" w:rsidRPr="00BD3AB9" w:rsidRDefault="0059043D" w:rsidP="0059043D">
      <w:pPr>
        <w:spacing w:line="276" w:lineRule="auto"/>
        <w:rPr>
          <w:rFonts w:ascii="Times New Roman" w:hAnsi="Times New Roman" w:cs="Times New Roman"/>
          <w:kern w:val="0"/>
        </w:rPr>
      </w:pPr>
    </w:p>
    <w:p w14:paraId="7606A028" w14:textId="77777777" w:rsidR="0059043D" w:rsidRPr="00BD3AB9" w:rsidRDefault="0059043D" w:rsidP="0059043D">
      <w:pPr>
        <w:spacing w:line="276" w:lineRule="auto"/>
        <w:rPr>
          <w:rFonts w:ascii="Times New Roman" w:hAnsi="Times New Roman" w:cs="Times New Roman"/>
          <w:kern w:val="0"/>
        </w:rPr>
      </w:pPr>
    </w:p>
    <w:p w14:paraId="773B1FEE" w14:textId="77777777" w:rsidR="0059043D" w:rsidRPr="00BD3AB9" w:rsidRDefault="0059043D" w:rsidP="0059043D">
      <w:pPr>
        <w:spacing w:line="276" w:lineRule="auto"/>
        <w:rPr>
          <w:rFonts w:ascii="Times New Roman" w:hAnsi="Times New Roman" w:cs="Times New Roman"/>
          <w:kern w:val="0"/>
        </w:rPr>
      </w:pPr>
    </w:p>
    <w:p w14:paraId="3244E1FA" w14:textId="77777777" w:rsidR="0059043D" w:rsidRPr="00BD3AB9" w:rsidRDefault="0059043D" w:rsidP="0059043D">
      <w:pPr>
        <w:spacing w:line="276" w:lineRule="auto"/>
        <w:rPr>
          <w:rFonts w:ascii="Times New Roman" w:hAnsi="Times New Roman" w:cs="Times New Roman"/>
          <w:kern w:val="0"/>
        </w:rPr>
      </w:pPr>
    </w:p>
    <w:p w14:paraId="179DF8AF" w14:textId="77777777" w:rsidR="0059043D" w:rsidRPr="00BD3AB9" w:rsidRDefault="0059043D" w:rsidP="0059043D">
      <w:pPr>
        <w:spacing w:line="276" w:lineRule="auto"/>
        <w:rPr>
          <w:rFonts w:ascii="Times New Roman" w:hAnsi="Times New Roman" w:cs="Times New Roman"/>
          <w:kern w:val="0"/>
        </w:rPr>
      </w:pPr>
    </w:p>
    <w:p w14:paraId="225A0248" w14:textId="77777777" w:rsidR="0059043D" w:rsidRPr="00BD3AB9" w:rsidRDefault="0059043D" w:rsidP="0059043D">
      <w:pPr>
        <w:spacing w:line="276" w:lineRule="auto"/>
        <w:rPr>
          <w:rFonts w:ascii="Times New Roman" w:hAnsi="Times New Roman" w:cs="Times New Roman"/>
          <w:kern w:val="0"/>
        </w:rPr>
      </w:pPr>
    </w:p>
    <w:p w14:paraId="72163A2D" w14:textId="77777777" w:rsidR="0059043D" w:rsidRPr="00BD3AB9" w:rsidRDefault="0059043D" w:rsidP="0059043D">
      <w:pPr>
        <w:spacing w:line="276" w:lineRule="auto"/>
        <w:rPr>
          <w:rFonts w:ascii="Times New Roman" w:hAnsi="Times New Roman" w:cs="Times New Roman"/>
          <w:kern w:val="0"/>
        </w:rPr>
      </w:pPr>
    </w:p>
    <w:p w14:paraId="59C2CF20" w14:textId="77777777" w:rsidR="0059043D" w:rsidRPr="00BD3AB9" w:rsidRDefault="0059043D" w:rsidP="0059043D">
      <w:pPr>
        <w:spacing w:line="276" w:lineRule="auto"/>
        <w:rPr>
          <w:rFonts w:ascii="Times New Roman" w:hAnsi="Times New Roman" w:cs="Times New Roman"/>
          <w:kern w:val="0"/>
        </w:rPr>
      </w:pPr>
    </w:p>
    <w:p w14:paraId="2190E55B" w14:textId="77777777" w:rsidR="0059043D" w:rsidRPr="00BD3AB9" w:rsidRDefault="0059043D" w:rsidP="0059043D">
      <w:pPr>
        <w:spacing w:line="276" w:lineRule="auto"/>
        <w:rPr>
          <w:rFonts w:ascii="Times New Roman" w:hAnsi="Times New Roman" w:cs="Times New Roman"/>
          <w:kern w:val="0"/>
        </w:rPr>
      </w:pPr>
    </w:p>
    <w:p w14:paraId="4EBB88A8" w14:textId="77777777" w:rsidR="0059043D" w:rsidRPr="00BD3AB9" w:rsidRDefault="0059043D" w:rsidP="0059043D">
      <w:pPr>
        <w:spacing w:line="276" w:lineRule="auto"/>
        <w:rPr>
          <w:rFonts w:ascii="Times New Roman" w:hAnsi="Times New Roman" w:cs="Times New Roman"/>
          <w:kern w:val="0"/>
        </w:rPr>
      </w:pPr>
    </w:p>
    <w:p w14:paraId="0B768281" w14:textId="77777777" w:rsidR="0059043D" w:rsidRPr="00BD3AB9" w:rsidRDefault="0059043D" w:rsidP="0059043D">
      <w:pPr>
        <w:spacing w:line="276" w:lineRule="auto"/>
        <w:rPr>
          <w:rFonts w:ascii="Times New Roman" w:hAnsi="Times New Roman" w:cs="Times New Roman"/>
          <w:kern w:val="0"/>
        </w:rPr>
      </w:pPr>
    </w:p>
    <w:p w14:paraId="1E9CF670" w14:textId="77777777" w:rsidR="0059043D" w:rsidRPr="00BD3AB9" w:rsidRDefault="0059043D" w:rsidP="0059043D">
      <w:pPr>
        <w:spacing w:line="276" w:lineRule="auto"/>
        <w:rPr>
          <w:rFonts w:ascii="Times New Roman" w:hAnsi="Times New Roman" w:cs="Times New Roman"/>
          <w:kern w:val="0"/>
        </w:rPr>
      </w:pPr>
    </w:p>
    <w:p w14:paraId="06A6D6F2" w14:textId="77777777" w:rsidR="0059043D" w:rsidRPr="00BD3AB9" w:rsidRDefault="0059043D" w:rsidP="0059043D">
      <w:pPr>
        <w:spacing w:line="264" w:lineRule="exact"/>
        <w:ind w:left="102" w:right="55"/>
        <w:rPr>
          <w:rFonts w:ascii="Times New Roman" w:eastAsia="Century Schoolbook" w:hAnsi="Times New Roman" w:cs="Times New Roman"/>
          <w:i/>
          <w:sz w:val="24"/>
          <w:szCs w:val="24"/>
        </w:rPr>
      </w:pPr>
      <w:r w:rsidRPr="00BD3AB9">
        <w:rPr>
          <w:rFonts w:ascii="Times New Roman" w:eastAsia="Century Schoolbook" w:hAnsi="Times New Roman" w:cs="Times New Roman"/>
          <w:i/>
          <w:sz w:val="24"/>
          <w:szCs w:val="24"/>
        </w:rPr>
        <w:t>At Step 2 of the ICH Process, a consensus draft text or guideline, agreed by the appropriate ICH Expert Working Group, is transmitted by the ICH Assembly to the regulatory authorities of the ICH regions for internal and external consultation, according to national or regional procedures.</w:t>
      </w:r>
    </w:p>
    <w:p w14:paraId="4990B47E" w14:textId="77777777" w:rsidR="0059043D" w:rsidRPr="00BD3AB9" w:rsidRDefault="0059043D" w:rsidP="0059043D">
      <w:pPr>
        <w:widowControl/>
        <w:jc w:val="left"/>
        <w:rPr>
          <w:rFonts w:ascii="Times New Roman" w:eastAsia="Century Schoolbook" w:hAnsi="Times New Roman" w:cs="Times New Roman"/>
          <w:i/>
          <w:szCs w:val="24"/>
        </w:rPr>
      </w:pPr>
      <w:r w:rsidRPr="00BD3AB9">
        <w:rPr>
          <w:rFonts w:ascii="Times New Roman" w:eastAsia="Century Schoolbook" w:hAnsi="Times New Roman" w:cs="Times New Roman"/>
          <w:i/>
          <w:szCs w:val="24"/>
        </w:rPr>
        <w:br w:type="page"/>
      </w:r>
    </w:p>
    <w:p w14:paraId="4F69108D" w14:textId="5EE4B94E" w:rsidR="0059043D" w:rsidRPr="00BD3AB9" w:rsidRDefault="00C05618" w:rsidP="0059043D">
      <w:pPr>
        <w:tabs>
          <w:tab w:val="left" w:pos="1331"/>
          <w:tab w:val="left" w:pos="7296"/>
          <w:tab w:val="left" w:pos="8516"/>
        </w:tabs>
        <w:spacing w:before="200" w:after="100"/>
        <w:ind w:right="87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ICH </w:t>
      </w:r>
      <w:r w:rsidR="00577E29">
        <w:rPr>
          <w:rFonts w:ascii="Times New Roman" w:hAnsi="Times New Roman" w:cs="Times New Roman"/>
          <w:b/>
          <w:sz w:val="24"/>
          <w:szCs w:val="24"/>
        </w:rPr>
        <w:t>Q3E</w:t>
      </w:r>
      <w:r w:rsidR="0059043D" w:rsidRPr="00BD3AB9">
        <w:rPr>
          <w:rFonts w:ascii="Times New Roman" w:hAnsi="Times New Roman" w:cs="Times New Roman"/>
          <w:b/>
          <w:sz w:val="24"/>
          <w:szCs w:val="24"/>
        </w:rPr>
        <w:br/>
        <w:t>Document History</w:t>
      </w:r>
    </w:p>
    <w:p w14:paraId="0CACD5B4" w14:textId="77777777" w:rsidR="0059043D" w:rsidRPr="00BD3AB9" w:rsidRDefault="0059043D" w:rsidP="0059043D">
      <w:pPr>
        <w:tabs>
          <w:tab w:val="left" w:pos="1331"/>
          <w:tab w:val="left" w:pos="7296"/>
          <w:tab w:val="left" w:pos="8516"/>
        </w:tabs>
        <w:spacing w:before="200" w:after="100"/>
        <w:ind w:right="871"/>
        <w:jc w:val="center"/>
        <w:rPr>
          <w:rFonts w:ascii="Times New Roman" w:hAnsi="Times New Roman" w:cs="Times New Roman"/>
          <w:b/>
          <w:sz w:val="24"/>
          <w:szCs w:val="24"/>
        </w:rPr>
      </w:pP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4935"/>
        <w:gridCol w:w="2004"/>
      </w:tblGrid>
      <w:tr w:rsidR="0059043D" w:rsidRPr="00BD3AB9" w14:paraId="1650FD29" w14:textId="77777777" w:rsidTr="009C76D3">
        <w:trPr>
          <w:cantSplit/>
          <w:trHeight w:val="404"/>
          <w:jc w:val="center"/>
        </w:trPr>
        <w:tc>
          <w:tcPr>
            <w:tcW w:w="1696" w:type="dxa"/>
          </w:tcPr>
          <w:p w14:paraId="5D8F241E" w14:textId="77777777" w:rsidR="0059043D" w:rsidRPr="00BD3AB9" w:rsidRDefault="0059043D" w:rsidP="00383F97">
            <w:pPr>
              <w:rPr>
                <w:rFonts w:ascii="Times New Roman" w:hAnsi="Times New Roman" w:cs="Times New Roman"/>
                <w:b/>
                <w:sz w:val="24"/>
                <w:szCs w:val="24"/>
              </w:rPr>
            </w:pPr>
            <w:r w:rsidRPr="00BD3AB9">
              <w:rPr>
                <w:rFonts w:ascii="Times New Roman" w:hAnsi="Times New Roman" w:cs="Times New Roman"/>
                <w:b/>
                <w:sz w:val="24"/>
                <w:szCs w:val="24"/>
              </w:rPr>
              <w:t>Code</w:t>
            </w:r>
          </w:p>
        </w:tc>
        <w:tc>
          <w:tcPr>
            <w:tcW w:w="4935" w:type="dxa"/>
          </w:tcPr>
          <w:p w14:paraId="576988E9" w14:textId="77777777" w:rsidR="0059043D" w:rsidRPr="00BD3AB9" w:rsidRDefault="0059043D" w:rsidP="00383F97">
            <w:pPr>
              <w:rPr>
                <w:rFonts w:ascii="Times New Roman" w:hAnsi="Times New Roman" w:cs="Times New Roman"/>
                <w:b/>
                <w:sz w:val="24"/>
                <w:szCs w:val="24"/>
              </w:rPr>
            </w:pPr>
            <w:r w:rsidRPr="00BD3AB9">
              <w:rPr>
                <w:rFonts w:ascii="Times New Roman" w:hAnsi="Times New Roman" w:cs="Times New Roman"/>
                <w:b/>
                <w:sz w:val="24"/>
                <w:szCs w:val="24"/>
              </w:rPr>
              <w:t>History</w:t>
            </w:r>
          </w:p>
        </w:tc>
        <w:tc>
          <w:tcPr>
            <w:tcW w:w="2004" w:type="dxa"/>
          </w:tcPr>
          <w:p w14:paraId="06B62FB6" w14:textId="77777777" w:rsidR="0059043D" w:rsidRPr="00BD3AB9" w:rsidRDefault="0059043D" w:rsidP="00383F97">
            <w:pPr>
              <w:rPr>
                <w:rFonts w:ascii="Times New Roman" w:hAnsi="Times New Roman" w:cs="Times New Roman"/>
                <w:b/>
                <w:sz w:val="24"/>
                <w:szCs w:val="24"/>
              </w:rPr>
            </w:pPr>
            <w:r w:rsidRPr="00BD3AB9">
              <w:rPr>
                <w:rFonts w:ascii="Times New Roman" w:hAnsi="Times New Roman" w:cs="Times New Roman"/>
                <w:b/>
                <w:sz w:val="24"/>
                <w:szCs w:val="24"/>
              </w:rPr>
              <w:t>Date</w:t>
            </w:r>
          </w:p>
        </w:tc>
      </w:tr>
      <w:tr w:rsidR="0059043D" w:rsidRPr="00BD3AB9" w14:paraId="3E2370C7" w14:textId="77777777" w:rsidTr="009C76D3">
        <w:trPr>
          <w:cantSplit/>
          <w:jc w:val="center"/>
        </w:trPr>
        <w:tc>
          <w:tcPr>
            <w:tcW w:w="1696" w:type="dxa"/>
          </w:tcPr>
          <w:p w14:paraId="3C0CCF88" w14:textId="65527CC7" w:rsidR="0059043D" w:rsidRPr="00BD3AB9" w:rsidRDefault="00577E29" w:rsidP="00383F97">
            <w:pPr>
              <w:rPr>
                <w:rFonts w:ascii="Times New Roman" w:hAnsi="Times New Roman" w:cs="Times New Roman"/>
                <w:sz w:val="24"/>
                <w:szCs w:val="24"/>
              </w:rPr>
            </w:pPr>
            <w:r>
              <w:rPr>
                <w:rFonts w:ascii="Times New Roman" w:hAnsi="Times New Roman" w:cs="Times New Roman"/>
                <w:sz w:val="24"/>
                <w:szCs w:val="24"/>
              </w:rPr>
              <w:t>Q3E</w:t>
            </w:r>
          </w:p>
        </w:tc>
        <w:tc>
          <w:tcPr>
            <w:tcW w:w="4935" w:type="dxa"/>
          </w:tcPr>
          <w:p w14:paraId="528272BD" w14:textId="1600BF5B" w:rsidR="0059043D" w:rsidRPr="00BD3AB9" w:rsidRDefault="00B71A6B" w:rsidP="00B71A6B">
            <w:pPr>
              <w:rPr>
                <w:rFonts w:ascii="Times New Roman" w:hAnsi="Times New Roman" w:cs="Times New Roman"/>
                <w:sz w:val="24"/>
                <w:szCs w:val="24"/>
              </w:rPr>
            </w:pPr>
            <w:r>
              <w:rPr>
                <w:rFonts w:ascii="Times New Roman" w:hAnsi="Times New Roman" w:cs="Times New Roman"/>
                <w:sz w:val="24"/>
                <w:szCs w:val="24"/>
              </w:rPr>
              <w:t>Endorsement</w:t>
            </w:r>
            <w:r w:rsidR="0059043D" w:rsidRPr="00BD3AB9">
              <w:rPr>
                <w:rFonts w:ascii="Times New Roman" w:hAnsi="Times New Roman" w:cs="Times New Roman"/>
                <w:sz w:val="24"/>
                <w:szCs w:val="24"/>
              </w:rPr>
              <w:t xml:space="preserve"> by the Members of the ICH Assembly under </w:t>
            </w:r>
            <w:r w:rsidR="0059043D" w:rsidRPr="00BD3AB9">
              <w:rPr>
                <w:rFonts w:ascii="Times New Roman" w:hAnsi="Times New Roman" w:cs="Times New Roman"/>
                <w:i/>
                <w:sz w:val="24"/>
                <w:szCs w:val="24"/>
              </w:rPr>
              <w:t>Step 2</w:t>
            </w:r>
            <w:r w:rsidR="00237EFC">
              <w:rPr>
                <w:rFonts w:ascii="Times New Roman" w:hAnsi="Times New Roman" w:cs="Times New Roman"/>
                <w:i/>
                <w:sz w:val="24"/>
                <w:szCs w:val="24"/>
              </w:rPr>
              <w:t>a/b</w:t>
            </w:r>
            <w:r w:rsidR="00190E47" w:rsidRPr="008A1DAC">
              <w:rPr>
                <w:rFonts w:ascii="Times New Roman"/>
                <w:sz w:val="24"/>
              </w:rPr>
              <w:t xml:space="preserve"> and</w:t>
            </w:r>
            <w:r w:rsidR="00190E47" w:rsidRPr="008A1DAC">
              <w:rPr>
                <w:rFonts w:ascii="Times New Roman"/>
                <w:spacing w:val="-9"/>
                <w:sz w:val="24"/>
              </w:rPr>
              <w:t xml:space="preserve"> </w:t>
            </w:r>
            <w:r w:rsidR="00190E47" w:rsidRPr="008A1DAC">
              <w:rPr>
                <w:rFonts w:ascii="Times New Roman"/>
                <w:sz w:val="24"/>
              </w:rPr>
              <w:t>release for public</w:t>
            </w:r>
            <w:r w:rsidR="00190E47" w:rsidRPr="008A1DAC">
              <w:rPr>
                <w:rFonts w:ascii="Times New Roman"/>
                <w:spacing w:val="-2"/>
                <w:sz w:val="24"/>
              </w:rPr>
              <w:t xml:space="preserve"> </w:t>
            </w:r>
            <w:r w:rsidR="00190E47" w:rsidRPr="008A1DAC">
              <w:rPr>
                <w:rFonts w:ascii="Times New Roman"/>
                <w:sz w:val="24"/>
              </w:rPr>
              <w:t>consultation</w:t>
            </w:r>
            <w:r w:rsidR="00FB4742">
              <w:rPr>
                <w:rFonts w:ascii="Times New Roman"/>
                <w:sz w:val="24"/>
              </w:rPr>
              <w:t>.</w:t>
            </w:r>
          </w:p>
        </w:tc>
        <w:tc>
          <w:tcPr>
            <w:tcW w:w="2004" w:type="dxa"/>
          </w:tcPr>
          <w:p w14:paraId="7178B0CC" w14:textId="64950A5E" w:rsidR="0059043D" w:rsidRPr="009C76D3" w:rsidRDefault="009C76D3" w:rsidP="00383F97">
            <w:pPr>
              <w:rPr>
                <w:rFonts w:ascii="Times New Roman" w:hAnsi="Times New Roman" w:cs="Times New Roman"/>
                <w:sz w:val="24"/>
                <w:szCs w:val="24"/>
              </w:rPr>
            </w:pPr>
            <w:r w:rsidRPr="009C76D3">
              <w:rPr>
                <w:rFonts w:ascii="Times New Roman" w:hAnsi="Times New Roman" w:cs="Times New Roman"/>
                <w:sz w:val="24"/>
                <w:szCs w:val="24"/>
              </w:rPr>
              <w:t>01</w:t>
            </w:r>
            <w:r w:rsidR="0059043D" w:rsidRPr="009C76D3">
              <w:rPr>
                <w:rFonts w:ascii="Times New Roman" w:hAnsi="Times New Roman" w:cs="Times New Roman"/>
                <w:sz w:val="24"/>
                <w:szCs w:val="24"/>
              </w:rPr>
              <w:t>/</w:t>
            </w:r>
            <w:r w:rsidRPr="009C76D3">
              <w:rPr>
                <w:rFonts w:ascii="Times New Roman" w:hAnsi="Times New Roman" w:cs="Times New Roman"/>
                <w:sz w:val="24"/>
                <w:szCs w:val="24"/>
              </w:rPr>
              <w:t>August</w:t>
            </w:r>
            <w:r w:rsidR="0059043D" w:rsidRPr="009C76D3">
              <w:rPr>
                <w:rFonts w:ascii="Times New Roman" w:hAnsi="Times New Roman" w:cs="Times New Roman"/>
                <w:sz w:val="24"/>
                <w:szCs w:val="24"/>
              </w:rPr>
              <w:t>/</w:t>
            </w:r>
            <w:r w:rsidRPr="009C76D3">
              <w:rPr>
                <w:rFonts w:ascii="Times New Roman" w:hAnsi="Times New Roman" w:cs="Times New Roman"/>
                <w:sz w:val="24"/>
                <w:szCs w:val="24"/>
              </w:rPr>
              <w:t>2025</w:t>
            </w:r>
          </w:p>
        </w:tc>
      </w:tr>
      <w:tr w:rsidR="009C76D3" w:rsidRPr="001A49AE" w14:paraId="6091AE86" w14:textId="77777777" w:rsidTr="009C76D3">
        <w:trPr>
          <w:cantSplit/>
          <w:jc w:val="center"/>
        </w:trPr>
        <w:tc>
          <w:tcPr>
            <w:tcW w:w="1696" w:type="dxa"/>
            <w:tcBorders>
              <w:top w:val="single" w:sz="4" w:space="0" w:color="auto"/>
              <w:left w:val="single" w:sz="4" w:space="0" w:color="auto"/>
              <w:bottom w:val="single" w:sz="4" w:space="0" w:color="auto"/>
              <w:right w:val="single" w:sz="4" w:space="0" w:color="auto"/>
            </w:tcBorders>
          </w:tcPr>
          <w:p w14:paraId="629987D7" w14:textId="77777777" w:rsidR="009C76D3" w:rsidRPr="00C661CF" w:rsidRDefault="009C76D3" w:rsidP="009C76D3">
            <w:pPr>
              <w:rPr>
                <w:rFonts w:ascii="Times New Roman" w:hAnsi="Times New Roman" w:cs="Times New Roman"/>
                <w:sz w:val="24"/>
                <w:szCs w:val="24"/>
              </w:rPr>
            </w:pPr>
            <w:r w:rsidRPr="00C661CF">
              <w:rPr>
                <w:rFonts w:ascii="Times New Roman" w:hAnsi="Times New Roman" w:cs="Times New Roman"/>
                <w:sz w:val="24"/>
                <w:szCs w:val="24"/>
              </w:rPr>
              <w:t>Q3E Supporting Documentation</w:t>
            </w:r>
          </w:p>
        </w:tc>
        <w:tc>
          <w:tcPr>
            <w:tcW w:w="4935" w:type="dxa"/>
            <w:tcBorders>
              <w:top w:val="single" w:sz="4" w:space="0" w:color="auto"/>
              <w:left w:val="single" w:sz="4" w:space="0" w:color="auto"/>
              <w:bottom w:val="single" w:sz="4" w:space="0" w:color="auto"/>
              <w:right w:val="single" w:sz="4" w:space="0" w:color="auto"/>
            </w:tcBorders>
          </w:tcPr>
          <w:p w14:paraId="36FD256A" w14:textId="07D0AE9E" w:rsidR="009C76D3" w:rsidRPr="00C661CF" w:rsidRDefault="009C76D3" w:rsidP="009C76D3">
            <w:pPr>
              <w:rPr>
                <w:rFonts w:ascii="Times New Roman" w:hAnsi="Times New Roman" w:cs="Times New Roman"/>
                <w:sz w:val="24"/>
                <w:szCs w:val="24"/>
              </w:rPr>
            </w:pPr>
            <w:r w:rsidRPr="00C661CF">
              <w:rPr>
                <w:rFonts w:ascii="Times New Roman" w:hAnsi="Times New Roman" w:cs="Times New Roman"/>
                <w:sz w:val="24"/>
                <w:szCs w:val="24"/>
              </w:rPr>
              <w:t xml:space="preserve">Endorsement by the Members of the ICH Assembly under </w:t>
            </w:r>
            <w:r w:rsidRPr="00BD3AB9">
              <w:rPr>
                <w:rFonts w:ascii="Times New Roman" w:hAnsi="Times New Roman" w:cs="Times New Roman"/>
                <w:i/>
                <w:sz w:val="24"/>
                <w:szCs w:val="24"/>
              </w:rPr>
              <w:t>Step 2</w:t>
            </w:r>
            <w:r>
              <w:rPr>
                <w:rFonts w:ascii="Times New Roman" w:hAnsi="Times New Roman" w:cs="Times New Roman"/>
                <w:i/>
                <w:sz w:val="24"/>
                <w:szCs w:val="24"/>
              </w:rPr>
              <w:t>a/b</w:t>
            </w:r>
            <w:r w:rsidRPr="008A1DAC">
              <w:rPr>
                <w:rFonts w:ascii="Times New Roman"/>
                <w:sz w:val="24"/>
              </w:rPr>
              <w:t xml:space="preserve"> </w:t>
            </w:r>
            <w:r w:rsidRPr="00C661CF">
              <w:rPr>
                <w:rFonts w:ascii="Times New Roman" w:hAnsi="Times New Roman" w:cs="Times New Roman"/>
                <w:sz w:val="24"/>
                <w:szCs w:val="24"/>
              </w:rPr>
              <w:t>and release for public consultation alongside the ICH Q3E: Guideline for Extractables and Leachables.</w:t>
            </w:r>
          </w:p>
        </w:tc>
        <w:tc>
          <w:tcPr>
            <w:tcW w:w="2004" w:type="dxa"/>
            <w:tcBorders>
              <w:top w:val="single" w:sz="4" w:space="0" w:color="auto"/>
              <w:left w:val="single" w:sz="4" w:space="0" w:color="auto"/>
              <w:bottom w:val="single" w:sz="4" w:space="0" w:color="auto"/>
              <w:right w:val="single" w:sz="4" w:space="0" w:color="auto"/>
            </w:tcBorders>
          </w:tcPr>
          <w:p w14:paraId="289112F9" w14:textId="4C8DDED2" w:rsidR="009C76D3" w:rsidRPr="00C661CF" w:rsidRDefault="009C76D3" w:rsidP="009C76D3">
            <w:pPr>
              <w:rPr>
                <w:rFonts w:ascii="Times New Roman" w:hAnsi="Times New Roman" w:cs="Times New Roman"/>
                <w:sz w:val="24"/>
                <w:szCs w:val="24"/>
                <w:highlight w:val="yellow"/>
              </w:rPr>
            </w:pPr>
            <w:r w:rsidRPr="009C76D3">
              <w:rPr>
                <w:rFonts w:ascii="Times New Roman" w:hAnsi="Times New Roman" w:cs="Times New Roman"/>
                <w:sz w:val="24"/>
                <w:szCs w:val="24"/>
              </w:rPr>
              <w:t>01/August/2025</w:t>
            </w:r>
          </w:p>
        </w:tc>
      </w:tr>
    </w:tbl>
    <w:p w14:paraId="70AA6712" w14:textId="77777777" w:rsidR="0059043D" w:rsidRPr="00BD3AB9" w:rsidRDefault="0059043D" w:rsidP="0059043D">
      <w:pPr>
        <w:widowControl/>
        <w:jc w:val="left"/>
        <w:rPr>
          <w:rFonts w:ascii="Times New Roman" w:hAnsi="Times New Roman" w:cs="Times New Roman"/>
        </w:rPr>
      </w:pPr>
    </w:p>
    <w:p w14:paraId="54410324" w14:textId="77777777" w:rsidR="0059043D" w:rsidRPr="00BD3AB9" w:rsidRDefault="0059043D" w:rsidP="0059043D">
      <w:pPr>
        <w:pStyle w:val="PlainText"/>
        <w:jc w:val="both"/>
        <w:rPr>
          <w:rFonts w:ascii="Times New Roman" w:hAnsi="Times New Roman"/>
          <w:b/>
          <w:i/>
          <w:iCs/>
          <w:lang w:val="en-GB"/>
        </w:rPr>
      </w:pPr>
    </w:p>
    <w:p w14:paraId="5D22619B" w14:textId="77777777" w:rsidR="0059043D" w:rsidRPr="00BD3AB9" w:rsidRDefault="0059043D" w:rsidP="0059043D">
      <w:pPr>
        <w:pStyle w:val="PlainText"/>
        <w:jc w:val="both"/>
        <w:rPr>
          <w:rFonts w:ascii="Times New Roman" w:hAnsi="Times New Roman"/>
          <w:b/>
          <w:i/>
          <w:iCs/>
          <w:lang w:val="en-GB"/>
        </w:rPr>
      </w:pPr>
    </w:p>
    <w:p w14:paraId="0B0755DF" w14:textId="77777777" w:rsidR="0059043D" w:rsidRPr="00BD3AB9" w:rsidRDefault="0059043D" w:rsidP="0059043D">
      <w:pPr>
        <w:pStyle w:val="PlainText"/>
        <w:jc w:val="both"/>
        <w:rPr>
          <w:rFonts w:ascii="Times New Roman" w:hAnsi="Times New Roman"/>
          <w:b/>
          <w:i/>
          <w:iCs/>
          <w:lang w:val="en-GB"/>
        </w:rPr>
      </w:pPr>
    </w:p>
    <w:p w14:paraId="33760855" w14:textId="77777777" w:rsidR="0059043D" w:rsidRPr="00BD3AB9" w:rsidRDefault="0059043D" w:rsidP="0059043D">
      <w:pPr>
        <w:pStyle w:val="PlainText"/>
        <w:jc w:val="both"/>
        <w:rPr>
          <w:rFonts w:ascii="Times New Roman" w:hAnsi="Times New Roman"/>
          <w:b/>
          <w:i/>
          <w:iCs/>
          <w:lang w:val="en-GB"/>
        </w:rPr>
      </w:pPr>
    </w:p>
    <w:p w14:paraId="522A60D2" w14:textId="77777777" w:rsidR="0059043D" w:rsidRPr="00BD3AB9" w:rsidRDefault="0059043D" w:rsidP="0059043D">
      <w:pPr>
        <w:pStyle w:val="PlainText"/>
        <w:jc w:val="both"/>
        <w:rPr>
          <w:rFonts w:ascii="Times New Roman" w:hAnsi="Times New Roman"/>
          <w:b/>
          <w:i/>
          <w:iCs/>
          <w:lang w:val="en-GB"/>
        </w:rPr>
      </w:pPr>
    </w:p>
    <w:p w14:paraId="3ED13E1E" w14:textId="77777777" w:rsidR="0059043D" w:rsidRPr="00BD3AB9" w:rsidRDefault="0059043D" w:rsidP="0059043D">
      <w:pPr>
        <w:pStyle w:val="PlainText"/>
        <w:jc w:val="both"/>
        <w:rPr>
          <w:rFonts w:ascii="Times New Roman" w:hAnsi="Times New Roman"/>
          <w:b/>
          <w:i/>
          <w:iCs/>
          <w:lang w:val="en-GB"/>
        </w:rPr>
      </w:pPr>
    </w:p>
    <w:p w14:paraId="7C48D8F7" w14:textId="77777777" w:rsidR="0059043D" w:rsidRPr="00BD3AB9" w:rsidRDefault="0059043D" w:rsidP="0059043D">
      <w:pPr>
        <w:pStyle w:val="PlainText"/>
        <w:jc w:val="both"/>
        <w:rPr>
          <w:rFonts w:ascii="Times New Roman" w:hAnsi="Times New Roman"/>
          <w:b/>
          <w:i/>
          <w:iCs/>
          <w:lang w:val="en-GB"/>
        </w:rPr>
      </w:pPr>
    </w:p>
    <w:p w14:paraId="11B8744B" w14:textId="77777777" w:rsidR="0059043D" w:rsidRPr="00BD3AB9" w:rsidRDefault="0059043D" w:rsidP="0059043D">
      <w:pPr>
        <w:pStyle w:val="PlainText"/>
        <w:jc w:val="both"/>
        <w:rPr>
          <w:rFonts w:ascii="Times New Roman" w:hAnsi="Times New Roman"/>
          <w:b/>
          <w:i/>
          <w:iCs/>
          <w:lang w:val="en-GB"/>
        </w:rPr>
      </w:pPr>
    </w:p>
    <w:p w14:paraId="6C521EC3" w14:textId="77777777" w:rsidR="0059043D" w:rsidRPr="00BD3AB9" w:rsidRDefault="0059043D" w:rsidP="0059043D">
      <w:pPr>
        <w:pStyle w:val="PlainText"/>
        <w:jc w:val="both"/>
        <w:rPr>
          <w:rFonts w:ascii="Times New Roman" w:hAnsi="Times New Roman"/>
          <w:b/>
          <w:i/>
          <w:iCs/>
          <w:lang w:val="en-GB"/>
        </w:rPr>
      </w:pPr>
    </w:p>
    <w:p w14:paraId="2572FD8D" w14:textId="77777777" w:rsidR="0059043D" w:rsidRPr="00BD3AB9" w:rsidRDefault="0059043D" w:rsidP="0059043D">
      <w:pPr>
        <w:pStyle w:val="PlainText"/>
        <w:jc w:val="both"/>
        <w:rPr>
          <w:rFonts w:ascii="Times New Roman" w:hAnsi="Times New Roman"/>
          <w:b/>
          <w:i/>
          <w:iCs/>
          <w:lang w:val="en-GB"/>
        </w:rPr>
      </w:pPr>
    </w:p>
    <w:p w14:paraId="4775D47A" w14:textId="77777777" w:rsidR="0059043D" w:rsidRPr="00BD3AB9" w:rsidRDefault="0059043D" w:rsidP="0059043D">
      <w:pPr>
        <w:pStyle w:val="PlainText"/>
        <w:jc w:val="both"/>
        <w:rPr>
          <w:rFonts w:ascii="Times New Roman" w:hAnsi="Times New Roman"/>
          <w:b/>
          <w:i/>
          <w:iCs/>
          <w:lang w:val="en-GB"/>
        </w:rPr>
      </w:pPr>
    </w:p>
    <w:p w14:paraId="0E652663" w14:textId="77777777" w:rsidR="0059043D" w:rsidRDefault="0059043D" w:rsidP="0059043D">
      <w:pPr>
        <w:pStyle w:val="PlainText"/>
        <w:jc w:val="both"/>
        <w:rPr>
          <w:rFonts w:ascii="Times New Roman" w:hAnsi="Times New Roman"/>
          <w:b/>
          <w:i/>
          <w:iCs/>
          <w:lang w:val="en-GB"/>
        </w:rPr>
      </w:pPr>
    </w:p>
    <w:p w14:paraId="597E642D" w14:textId="77777777" w:rsidR="00B021EB" w:rsidRDefault="00B021EB" w:rsidP="0059043D">
      <w:pPr>
        <w:pStyle w:val="PlainText"/>
        <w:jc w:val="both"/>
        <w:rPr>
          <w:rFonts w:ascii="Times New Roman" w:hAnsi="Times New Roman"/>
          <w:b/>
          <w:i/>
          <w:iCs/>
          <w:lang w:val="en-GB"/>
        </w:rPr>
      </w:pPr>
    </w:p>
    <w:p w14:paraId="60D605BC" w14:textId="77777777" w:rsidR="00B021EB" w:rsidRDefault="00B021EB" w:rsidP="0059043D">
      <w:pPr>
        <w:pStyle w:val="PlainText"/>
        <w:jc w:val="both"/>
        <w:rPr>
          <w:rFonts w:ascii="Times New Roman" w:hAnsi="Times New Roman"/>
          <w:b/>
          <w:i/>
          <w:iCs/>
          <w:lang w:val="en-GB"/>
        </w:rPr>
      </w:pPr>
    </w:p>
    <w:p w14:paraId="0DA6F303" w14:textId="77777777" w:rsidR="00B021EB" w:rsidRDefault="00B021EB" w:rsidP="0059043D">
      <w:pPr>
        <w:pStyle w:val="PlainText"/>
        <w:jc w:val="both"/>
        <w:rPr>
          <w:rFonts w:ascii="Times New Roman" w:hAnsi="Times New Roman"/>
          <w:b/>
          <w:i/>
          <w:iCs/>
          <w:lang w:val="en-GB"/>
        </w:rPr>
      </w:pPr>
    </w:p>
    <w:p w14:paraId="58C57B47" w14:textId="77777777" w:rsidR="00B021EB" w:rsidRDefault="00B021EB" w:rsidP="0059043D">
      <w:pPr>
        <w:pStyle w:val="PlainText"/>
        <w:jc w:val="both"/>
        <w:rPr>
          <w:rFonts w:ascii="Times New Roman" w:hAnsi="Times New Roman"/>
          <w:b/>
          <w:i/>
          <w:iCs/>
          <w:lang w:val="en-GB"/>
        </w:rPr>
      </w:pPr>
    </w:p>
    <w:p w14:paraId="2B172DAF" w14:textId="77777777" w:rsidR="001C57C8" w:rsidRDefault="001C57C8" w:rsidP="0059043D">
      <w:pPr>
        <w:pStyle w:val="PlainText"/>
        <w:jc w:val="both"/>
        <w:rPr>
          <w:rFonts w:ascii="Times New Roman" w:hAnsi="Times New Roman"/>
          <w:b/>
          <w:i/>
          <w:iCs/>
          <w:lang w:val="en-GB"/>
        </w:rPr>
      </w:pPr>
    </w:p>
    <w:p w14:paraId="334052B7" w14:textId="77777777" w:rsidR="001C57C8" w:rsidRDefault="001C57C8" w:rsidP="0059043D">
      <w:pPr>
        <w:pStyle w:val="PlainText"/>
        <w:jc w:val="both"/>
        <w:rPr>
          <w:rFonts w:ascii="Times New Roman" w:hAnsi="Times New Roman"/>
          <w:b/>
          <w:i/>
          <w:iCs/>
          <w:lang w:val="en-GB"/>
        </w:rPr>
      </w:pPr>
    </w:p>
    <w:p w14:paraId="45B1FC8A" w14:textId="77777777" w:rsidR="001C57C8" w:rsidRDefault="001C57C8" w:rsidP="0059043D">
      <w:pPr>
        <w:pStyle w:val="PlainText"/>
        <w:jc w:val="both"/>
        <w:rPr>
          <w:rFonts w:ascii="Times New Roman" w:hAnsi="Times New Roman"/>
          <w:b/>
          <w:i/>
          <w:iCs/>
          <w:lang w:val="en-GB"/>
        </w:rPr>
      </w:pPr>
    </w:p>
    <w:p w14:paraId="58320D9A" w14:textId="77777777" w:rsidR="001C57C8" w:rsidRDefault="001C57C8" w:rsidP="0059043D">
      <w:pPr>
        <w:pStyle w:val="PlainText"/>
        <w:jc w:val="both"/>
        <w:rPr>
          <w:rFonts w:ascii="Times New Roman" w:hAnsi="Times New Roman"/>
          <w:b/>
          <w:i/>
          <w:iCs/>
          <w:lang w:val="en-GB"/>
        </w:rPr>
      </w:pPr>
    </w:p>
    <w:p w14:paraId="1340B420" w14:textId="77777777" w:rsidR="001C57C8" w:rsidRDefault="001C57C8" w:rsidP="0059043D">
      <w:pPr>
        <w:pStyle w:val="PlainText"/>
        <w:jc w:val="both"/>
        <w:rPr>
          <w:rFonts w:ascii="Times New Roman" w:hAnsi="Times New Roman"/>
          <w:b/>
          <w:i/>
          <w:iCs/>
          <w:lang w:val="en-GB"/>
        </w:rPr>
      </w:pPr>
    </w:p>
    <w:p w14:paraId="344AE7AC" w14:textId="77777777" w:rsidR="00B021EB" w:rsidRDefault="00B021EB" w:rsidP="0059043D">
      <w:pPr>
        <w:pStyle w:val="PlainText"/>
        <w:jc w:val="both"/>
        <w:rPr>
          <w:rFonts w:ascii="Times New Roman" w:hAnsi="Times New Roman"/>
          <w:b/>
          <w:i/>
          <w:iCs/>
          <w:lang w:val="en-GB"/>
        </w:rPr>
      </w:pPr>
    </w:p>
    <w:p w14:paraId="38A6863B" w14:textId="77777777" w:rsidR="00B021EB" w:rsidRPr="00BD3AB9" w:rsidRDefault="00B021EB" w:rsidP="0059043D">
      <w:pPr>
        <w:pStyle w:val="PlainText"/>
        <w:jc w:val="both"/>
        <w:rPr>
          <w:rFonts w:ascii="Times New Roman" w:hAnsi="Times New Roman"/>
          <w:b/>
          <w:i/>
          <w:iCs/>
          <w:lang w:val="en-GB"/>
        </w:rPr>
      </w:pPr>
    </w:p>
    <w:p w14:paraId="6778499E" w14:textId="77777777" w:rsidR="0059043D" w:rsidRPr="00BD3AB9" w:rsidRDefault="0059043D" w:rsidP="0059043D">
      <w:pPr>
        <w:pStyle w:val="PlainText"/>
        <w:jc w:val="both"/>
        <w:rPr>
          <w:rFonts w:ascii="Times New Roman" w:hAnsi="Times New Roman"/>
          <w:b/>
          <w:i/>
          <w:iCs/>
          <w:lang w:val="en-GB"/>
        </w:rPr>
      </w:pPr>
    </w:p>
    <w:p w14:paraId="68F4092F" w14:textId="7967FCE5" w:rsidR="0059043D" w:rsidRDefault="0059043D" w:rsidP="0059043D">
      <w:pPr>
        <w:pStyle w:val="PlainText"/>
        <w:jc w:val="both"/>
        <w:rPr>
          <w:rFonts w:ascii="Times New Roman" w:hAnsi="Times New Roman"/>
          <w:b/>
          <w:i/>
          <w:iCs/>
          <w:lang w:val="en-GB"/>
        </w:rPr>
      </w:pPr>
    </w:p>
    <w:p w14:paraId="255DCD10" w14:textId="77777777" w:rsidR="00C05618" w:rsidRPr="00BD3AB9" w:rsidRDefault="00C05618" w:rsidP="0059043D">
      <w:pPr>
        <w:pStyle w:val="PlainText"/>
        <w:jc w:val="both"/>
        <w:rPr>
          <w:rFonts w:ascii="Times New Roman" w:hAnsi="Times New Roman"/>
          <w:b/>
          <w:i/>
          <w:iCs/>
          <w:lang w:val="en-GB"/>
        </w:rPr>
      </w:pPr>
    </w:p>
    <w:p w14:paraId="75113526" w14:textId="77777777" w:rsidR="0059043D" w:rsidRPr="00BD3AB9" w:rsidRDefault="0059043D" w:rsidP="0059043D">
      <w:pPr>
        <w:pStyle w:val="PlainText"/>
        <w:jc w:val="both"/>
        <w:rPr>
          <w:rFonts w:ascii="Times New Roman" w:hAnsi="Times New Roman"/>
          <w:i/>
          <w:iCs/>
          <w:lang w:val="en-GB"/>
        </w:rPr>
      </w:pPr>
      <w:r w:rsidRPr="00BD3AB9">
        <w:rPr>
          <w:rFonts w:ascii="Times New Roman" w:hAnsi="Times New Roman"/>
          <w:b/>
          <w:i/>
          <w:iCs/>
          <w:lang w:val="en-GB"/>
        </w:rPr>
        <w:t xml:space="preserve">Legal notice: </w:t>
      </w:r>
      <w:r w:rsidRPr="00BD3AB9">
        <w:rPr>
          <w:rFonts w:ascii="Times New Roman" w:hAnsi="Times New Roman"/>
          <w:i/>
          <w:iCs/>
          <w:lang w:val="en-GB"/>
        </w:rPr>
        <w:t>This document is protected by copyright and may, with the exception of the ICH logo, be used, reproduced, incorporated into other works, adapted, modified, translated or distributed under a public license provided that ICH's copyright in the document is acknowledged at all times.  In case of any adaption, modification or translation of the document, reasonable steps must be taken to clearly label, demarcate or otherwise identify that changes were made to or based on the original document.  Any impression that the adaption, modification or translation of the original document is endorsed or sponsored by the ICH must be avoided.</w:t>
      </w:r>
    </w:p>
    <w:p w14:paraId="3030F448" w14:textId="77777777" w:rsidR="0059043D" w:rsidRPr="00BD3AB9" w:rsidRDefault="0059043D" w:rsidP="0059043D">
      <w:pPr>
        <w:pStyle w:val="PlainText"/>
        <w:jc w:val="both"/>
        <w:rPr>
          <w:rFonts w:ascii="Times New Roman" w:hAnsi="Times New Roman"/>
          <w:i/>
          <w:iCs/>
          <w:lang w:val="en-GB"/>
        </w:rPr>
      </w:pPr>
      <w:r w:rsidRPr="00BD3AB9">
        <w:rPr>
          <w:rFonts w:ascii="Times New Roman" w:hAnsi="Times New Roman"/>
          <w:i/>
          <w:iCs/>
          <w:lang w:val="en-GB"/>
        </w:rPr>
        <w:t>The document is provided "as is" without warranty of any kind.  In no event shall the ICH or the authors of the original document be liable for any claim, damages or other liability arising from the use of the document.</w:t>
      </w:r>
    </w:p>
    <w:p w14:paraId="61184333" w14:textId="77777777" w:rsidR="0059043D" w:rsidRPr="00BD3AB9" w:rsidRDefault="0059043D" w:rsidP="0059043D">
      <w:pPr>
        <w:pStyle w:val="PlainText"/>
        <w:jc w:val="both"/>
        <w:rPr>
          <w:rFonts w:ascii="Times New Roman" w:hAnsi="Times New Roman"/>
          <w:i/>
          <w:lang w:val="en-GB"/>
        </w:rPr>
      </w:pPr>
      <w:r w:rsidRPr="00BD3AB9">
        <w:rPr>
          <w:rFonts w:ascii="Times New Roman" w:hAnsi="Times New Roman"/>
          <w:i/>
          <w:iCs/>
          <w:lang w:val="en-GB"/>
        </w:rPr>
        <w:t>The above-mentioned permissions do not apply to content supplied by third parties.  Therefore, for documents where the copyright vests in a third party, permission for reproduction must be obtained from this copyright holder.</w:t>
      </w:r>
    </w:p>
    <w:p w14:paraId="685B629D" w14:textId="77777777" w:rsidR="0059043D" w:rsidRPr="00BD3AB9" w:rsidRDefault="0059043D" w:rsidP="0059043D">
      <w:pPr>
        <w:widowControl/>
        <w:jc w:val="left"/>
        <w:rPr>
          <w:rFonts w:ascii="Times New Roman" w:hAnsi="Times New Roman" w:cs="Times New Roman"/>
        </w:rPr>
        <w:sectPr w:rsidR="0059043D" w:rsidRPr="00BD3AB9" w:rsidSect="0059043D">
          <w:headerReference w:type="default" r:id="rId8"/>
          <w:footerReference w:type="default" r:id="rId9"/>
          <w:headerReference w:type="first" r:id="rId10"/>
          <w:pgSz w:w="11907" w:h="16839" w:code="9"/>
          <w:pgMar w:top="1440" w:right="1699" w:bottom="1440" w:left="1699" w:header="850" w:footer="994" w:gutter="0"/>
          <w:cols w:space="720"/>
          <w:titlePg/>
          <w:docGrid w:linePitch="286"/>
        </w:sectPr>
      </w:pPr>
    </w:p>
    <w:p w14:paraId="14E303A5" w14:textId="77777777" w:rsidR="0059043D" w:rsidRPr="00BD3AB9" w:rsidRDefault="0059043D" w:rsidP="0059043D">
      <w:pPr>
        <w:pStyle w:val="BodyText"/>
        <w:spacing w:after="240"/>
        <w:ind w:leftChars="-65" w:left="-134" w:right="-269" w:hanging="2"/>
        <w:jc w:val="center"/>
        <w:rPr>
          <w:rFonts w:ascii="Times New Roman" w:hAnsi="Times New Roman"/>
          <w:b/>
          <w:i w:val="0"/>
          <w:smallCaps/>
          <w:color w:val="000000"/>
          <w:sz w:val="32"/>
          <w:szCs w:val="24"/>
        </w:rPr>
      </w:pPr>
      <w:r w:rsidRPr="00BD3AB9">
        <w:rPr>
          <w:rFonts w:ascii="Times New Roman" w:hAnsi="Times New Roman"/>
          <w:b/>
          <w:i w:val="0"/>
          <w:smallCaps/>
          <w:color w:val="000000"/>
          <w:sz w:val="32"/>
          <w:szCs w:val="24"/>
        </w:rPr>
        <w:lastRenderedPageBreak/>
        <w:t xml:space="preserve">ICH Harmonised Guideline </w:t>
      </w:r>
    </w:p>
    <w:p w14:paraId="640F85EA" w14:textId="70943B91" w:rsidR="0059043D" w:rsidRPr="00BD3AB9" w:rsidRDefault="001326F1" w:rsidP="0059043D">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1"/>
          <w:tab w:val="left" w:pos="1276"/>
        </w:tabs>
        <w:overflowPunct w:val="0"/>
        <w:autoSpaceDE w:val="0"/>
        <w:autoSpaceDN w:val="0"/>
        <w:adjustRightInd w:val="0"/>
        <w:spacing w:after="300"/>
        <w:jc w:val="center"/>
        <w:textAlignment w:val="baseline"/>
        <w:rPr>
          <w:rFonts w:ascii="Times New Roman" w:eastAsia="Times New Roman" w:hAnsi="Times New Roman" w:cs="Times New Roman"/>
          <w:b/>
          <w:smallCaps/>
          <w:color w:val="auto"/>
          <w:kern w:val="0"/>
          <w:sz w:val="36"/>
          <w:szCs w:val="36"/>
          <w:bdr w:val="none" w:sz="0" w:space="0" w:color="auto"/>
          <w:lang w:eastAsia="en-US"/>
        </w:rPr>
      </w:pPr>
      <w:r>
        <w:rPr>
          <w:rFonts w:ascii="Times New Roman" w:eastAsia="Times New Roman" w:hAnsi="Times New Roman" w:cs="Times New Roman"/>
          <w:b/>
          <w:smallCaps/>
          <w:color w:val="auto"/>
          <w:kern w:val="0"/>
          <w:sz w:val="36"/>
          <w:szCs w:val="36"/>
          <w:bdr w:val="none" w:sz="0" w:space="0" w:color="auto"/>
          <w:lang w:eastAsia="en-US"/>
        </w:rPr>
        <w:t>Guideline for extractables and leachables</w:t>
      </w:r>
    </w:p>
    <w:p w14:paraId="42914BF5" w14:textId="3A207716" w:rsidR="0059043D" w:rsidRPr="00BD3AB9" w:rsidRDefault="001326F1" w:rsidP="0059043D">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1"/>
          <w:tab w:val="left" w:pos="1276"/>
        </w:tabs>
        <w:overflowPunct w:val="0"/>
        <w:autoSpaceDE w:val="0"/>
        <w:autoSpaceDN w:val="0"/>
        <w:adjustRightInd w:val="0"/>
        <w:spacing w:after="200"/>
        <w:jc w:val="center"/>
        <w:textAlignment w:val="baseline"/>
        <w:rPr>
          <w:rFonts w:ascii="Times New Roman" w:eastAsia="Times New Roman" w:hAnsi="Times New Roman" w:cs="Times New Roman"/>
          <w:b/>
          <w:smallCaps/>
          <w:color w:val="auto"/>
          <w:kern w:val="0"/>
          <w:sz w:val="36"/>
          <w:szCs w:val="36"/>
          <w:bdr w:val="none" w:sz="0" w:space="0" w:color="auto"/>
          <w:lang w:eastAsia="en-US"/>
        </w:rPr>
      </w:pPr>
      <w:r>
        <w:rPr>
          <w:rFonts w:ascii="Times New Roman" w:eastAsia="Times New Roman" w:hAnsi="Times New Roman" w:cs="Times New Roman"/>
          <w:b/>
          <w:smallCaps/>
          <w:color w:val="auto"/>
          <w:kern w:val="0"/>
          <w:sz w:val="36"/>
          <w:szCs w:val="36"/>
          <w:bdr w:val="none" w:sz="0" w:space="0" w:color="auto"/>
          <w:lang w:eastAsia="en-US"/>
        </w:rPr>
        <w:t>Q3E</w:t>
      </w:r>
      <w:r w:rsidR="0059043D" w:rsidRPr="00BD3AB9">
        <w:rPr>
          <w:rFonts w:ascii="Times New Roman" w:eastAsia="Times New Roman" w:hAnsi="Times New Roman" w:cs="Times New Roman"/>
          <w:b/>
          <w:smallCaps/>
          <w:color w:val="auto"/>
          <w:kern w:val="0"/>
          <w:sz w:val="36"/>
          <w:szCs w:val="36"/>
          <w:bdr w:val="none" w:sz="0" w:space="0" w:color="auto"/>
          <w:lang w:eastAsia="en-US"/>
        </w:rPr>
        <w:tab/>
      </w:r>
    </w:p>
    <w:p w14:paraId="5B1BC9B3" w14:textId="77777777" w:rsidR="0059043D" w:rsidRPr="00BD3AB9" w:rsidRDefault="0059043D" w:rsidP="0059043D">
      <w:pPr>
        <w:jc w:val="center"/>
        <w:rPr>
          <w:rFonts w:ascii="Times New Roman" w:eastAsia="MS Mincho" w:hAnsi="Times New Roman" w:cs="Times New Roman"/>
          <w:b/>
          <w:sz w:val="24"/>
          <w:szCs w:val="24"/>
        </w:rPr>
      </w:pPr>
      <w:r w:rsidRPr="00BD3AB9">
        <w:rPr>
          <w:rFonts w:ascii="Times New Roman" w:eastAsia="MS Mincho" w:hAnsi="Times New Roman" w:cs="Times New Roman"/>
          <w:b/>
          <w:sz w:val="24"/>
          <w:szCs w:val="24"/>
        </w:rPr>
        <w:t>ICH Consensus Guideline</w:t>
      </w:r>
    </w:p>
    <w:p w14:paraId="5415ADBF" w14:textId="77777777" w:rsidR="0059043D" w:rsidRPr="00BD3AB9" w:rsidRDefault="0059043D" w:rsidP="0059043D">
      <w:pPr>
        <w:spacing w:line="280" w:lineRule="atLeast"/>
        <w:jc w:val="center"/>
        <w:rPr>
          <w:rFonts w:ascii="Times New Roman" w:hAnsi="Times New Roman" w:cs="Times New Roman"/>
        </w:rPr>
      </w:pPr>
    </w:p>
    <w:p w14:paraId="5EB74A6F" w14:textId="77777777" w:rsidR="00BD3AB9" w:rsidRDefault="00BD3AB9">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lang w:val="en-US"/>
        </w:rPr>
      </w:pPr>
    </w:p>
    <w:p w14:paraId="38AF5A31" w14:textId="77777777" w:rsidR="001C57C8" w:rsidRPr="001C57C8" w:rsidRDefault="001C57C8" w:rsidP="001C57C8">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737"/>
        </w:tabs>
        <w:overflowPunct w:val="0"/>
        <w:autoSpaceDE w:val="0"/>
        <w:autoSpaceDN w:val="0"/>
        <w:adjustRightInd w:val="0"/>
        <w:spacing w:before="180" w:after="240"/>
        <w:textAlignment w:val="baseline"/>
        <w:rPr>
          <w:rFonts w:ascii="Times New Roman" w:eastAsia="Times New Roman" w:hAnsi="Times New Roman" w:cs="Times New Roman"/>
          <w:b/>
          <w:smallCaps/>
          <w:color w:val="auto"/>
          <w:kern w:val="0"/>
          <w:sz w:val="24"/>
          <w:szCs w:val="24"/>
          <w:bdr w:val="none" w:sz="0" w:space="0" w:color="auto"/>
          <w:lang w:eastAsia="en-US"/>
        </w:rPr>
      </w:pPr>
      <w:r w:rsidRPr="001C57C8">
        <w:rPr>
          <w:rFonts w:ascii="Times New Roman" w:eastAsia="Times New Roman" w:hAnsi="Times New Roman" w:cs="Times New Roman"/>
          <w:b/>
          <w:smallCaps/>
          <w:color w:val="auto"/>
          <w:kern w:val="0"/>
          <w:sz w:val="24"/>
          <w:szCs w:val="24"/>
          <w:bdr w:val="none" w:sz="0" w:space="0" w:color="auto"/>
          <w:lang w:eastAsia="en-US"/>
        </w:rPr>
        <w:t>Table of Contents</w:t>
      </w:r>
    </w:p>
    <w:sdt>
      <w:sdtPr>
        <w:rPr>
          <w:rFonts w:ascii="Century" w:eastAsia="Century" w:hAnsi="Century" w:cs="Century"/>
          <w:color w:val="000000"/>
          <w:kern w:val="2"/>
          <w:sz w:val="21"/>
          <w:szCs w:val="21"/>
          <w:bdr w:val="nil"/>
          <w:lang w:val="en-GB" w:eastAsia="ja-JP"/>
        </w:rPr>
        <w:id w:val="-99105990"/>
        <w:docPartObj>
          <w:docPartGallery w:val="Table of Contents"/>
          <w:docPartUnique/>
        </w:docPartObj>
      </w:sdtPr>
      <w:sdtEndPr>
        <w:rPr>
          <w:b/>
          <w:bCs/>
          <w:noProof/>
        </w:rPr>
      </w:sdtEndPr>
      <w:sdtContent>
        <w:p w14:paraId="7B4004BB" w14:textId="179F2678" w:rsidR="00FE1CE8" w:rsidRDefault="00FE1CE8">
          <w:pPr>
            <w:pStyle w:val="TOCHeading"/>
          </w:pPr>
        </w:p>
        <w:p w14:paraId="2158D4AF" w14:textId="12DE77EE" w:rsidR="00B574B1" w:rsidRDefault="00FE1CE8">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r>
            <w:fldChar w:fldCharType="begin"/>
          </w:r>
          <w:r>
            <w:instrText xml:space="preserve"> TOC \o "1-3" \h \z \u </w:instrText>
          </w:r>
          <w:r>
            <w:fldChar w:fldCharType="separate"/>
          </w:r>
          <w:hyperlink w:anchor="_Toc201662496" w:history="1">
            <w:r w:rsidR="00B574B1" w:rsidRPr="00802426">
              <w:rPr>
                <w:rStyle w:val="Hyperlink"/>
                <w:noProof/>
              </w:rPr>
              <w:t>1.</w:t>
            </w:r>
            <w:r w:rsidR="00B574B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tab/>
            </w:r>
            <w:r w:rsidR="00B574B1" w:rsidRPr="00802426">
              <w:rPr>
                <w:rStyle w:val="Hyperlink"/>
                <w:noProof/>
              </w:rPr>
              <w:t>INTRODUCTION</w:t>
            </w:r>
            <w:r w:rsidR="00B574B1">
              <w:rPr>
                <w:noProof/>
                <w:webHidden/>
              </w:rPr>
              <w:tab/>
            </w:r>
            <w:r w:rsidR="00B574B1">
              <w:rPr>
                <w:noProof/>
                <w:webHidden/>
              </w:rPr>
              <w:fldChar w:fldCharType="begin"/>
            </w:r>
            <w:r w:rsidR="00B574B1">
              <w:rPr>
                <w:noProof/>
                <w:webHidden/>
              </w:rPr>
              <w:instrText xml:space="preserve"> PAGEREF _Toc201662496 \h </w:instrText>
            </w:r>
            <w:r w:rsidR="00B574B1">
              <w:rPr>
                <w:noProof/>
                <w:webHidden/>
              </w:rPr>
            </w:r>
            <w:r w:rsidR="00B574B1">
              <w:rPr>
                <w:noProof/>
                <w:webHidden/>
              </w:rPr>
              <w:fldChar w:fldCharType="separate"/>
            </w:r>
            <w:r w:rsidR="00B574B1">
              <w:rPr>
                <w:noProof/>
                <w:webHidden/>
              </w:rPr>
              <w:t>1</w:t>
            </w:r>
            <w:r w:rsidR="00B574B1">
              <w:rPr>
                <w:noProof/>
                <w:webHidden/>
              </w:rPr>
              <w:fldChar w:fldCharType="end"/>
            </w:r>
          </w:hyperlink>
        </w:p>
        <w:p w14:paraId="67E41371" w14:textId="59BF3DF9"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497" w:history="1">
            <w:r w:rsidR="00B574B1" w:rsidRPr="00802426">
              <w:rPr>
                <w:rStyle w:val="Hyperlink"/>
                <w:noProof/>
              </w:rPr>
              <w:t>2.</w:t>
            </w:r>
            <w:r w:rsidR="00B574B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tab/>
            </w:r>
            <w:r w:rsidR="00B574B1" w:rsidRPr="00802426">
              <w:rPr>
                <w:rStyle w:val="Hyperlink"/>
                <w:noProof/>
              </w:rPr>
              <w:t>SCOPE</w:t>
            </w:r>
            <w:r w:rsidR="00B574B1">
              <w:rPr>
                <w:noProof/>
                <w:webHidden/>
              </w:rPr>
              <w:tab/>
            </w:r>
            <w:r w:rsidR="00B574B1">
              <w:rPr>
                <w:noProof/>
                <w:webHidden/>
              </w:rPr>
              <w:fldChar w:fldCharType="begin"/>
            </w:r>
            <w:r w:rsidR="00B574B1">
              <w:rPr>
                <w:noProof/>
                <w:webHidden/>
              </w:rPr>
              <w:instrText xml:space="preserve"> PAGEREF _Toc201662497 \h </w:instrText>
            </w:r>
            <w:r w:rsidR="00B574B1">
              <w:rPr>
                <w:noProof/>
                <w:webHidden/>
              </w:rPr>
            </w:r>
            <w:r w:rsidR="00B574B1">
              <w:rPr>
                <w:noProof/>
                <w:webHidden/>
              </w:rPr>
              <w:fldChar w:fldCharType="separate"/>
            </w:r>
            <w:r w:rsidR="00B574B1">
              <w:rPr>
                <w:noProof/>
                <w:webHidden/>
              </w:rPr>
              <w:t>1</w:t>
            </w:r>
            <w:r w:rsidR="00B574B1">
              <w:rPr>
                <w:noProof/>
                <w:webHidden/>
              </w:rPr>
              <w:fldChar w:fldCharType="end"/>
            </w:r>
          </w:hyperlink>
        </w:p>
        <w:p w14:paraId="33CAB609" w14:textId="3CAF2C8B"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498" w:history="1">
            <w:r w:rsidR="00B574B1" w:rsidRPr="00802426">
              <w:rPr>
                <w:rStyle w:val="Hyperlink"/>
                <w:noProof/>
              </w:rPr>
              <w:t>3.</w:t>
            </w:r>
            <w:r w:rsidR="00B574B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tab/>
            </w:r>
            <w:r w:rsidR="00B574B1" w:rsidRPr="00802426">
              <w:rPr>
                <w:rStyle w:val="Hyperlink"/>
                <w:noProof/>
              </w:rPr>
              <w:t>RISK ASSESSMENT AND CONTROL OF EXTRACTABLES AND LEACHABLES</w:t>
            </w:r>
            <w:r w:rsidR="00B574B1">
              <w:rPr>
                <w:noProof/>
                <w:webHidden/>
              </w:rPr>
              <w:tab/>
            </w:r>
            <w:r w:rsidR="00B574B1">
              <w:rPr>
                <w:noProof/>
                <w:webHidden/>
              </w:rPr>
              <w:fldChar w:fldCharType="begin"/>
            </w:r>
            <w:r w:rsidR="00B574B1">
              <w:rPr>
                <w:noProof/>
                <w:webHidden/>
              </w:rPr>
              <w:instrText xml:space="preserve"> PAGEREF _Toc201662498 \h </w:instrText>
            </w:r>
            <w:r w:rsidR="00B574B1">
              <w:rPr>
                <w:noProof/>
                <w:webHidden/>
              </w:rPr>
            </w:r>
            <w:r w:rsidR="00B574B1">
              <w:rPr>
                <w:noProof/>
                <w:webHidden/>
              </w:rPr>
              <w:fldChar w:fldCharType="separate"/>
            </w:r>
            <w:r w:rsidR="00B574B1">
              <w:rPr>
                <w:noProof/>
                <w:webHidden/>
              </w:rPr>
              <w:t>2</w:t>
            </w:r>
            <w:r w:rsidR="00B574B1">
              <w:rPr>
                <w:noProof/>
                <w:webHidden/>
              </w:rPr>
              <w:fldChar w:fldCharType="end"/>
            </w:r>
          </w:hyperlink>
        </w:p>
        <w:p w14:paraId="02B644E6" w14:textId="518DE447"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499" w:history="1">
            <w:r w:rsidR="00B574B1" w:rsidRPr="00802426">
              <w:rPr>
                <w:rStyle w:val="Hyperlink"/>
              </w:rPr>
              <w:t>3.1</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General Principles</w:t>
            </w:r>
            <w:r w:rsidR="00B574B1">
              <w:rPr>
                <w:webHidden/>
              </w:rPr>
              <w:tab/>
            </w:r>
            <w:r w:rsidR="00B574B1">
              <w:rPr>
                <w:webHidden/>
              </w:rPr>
              <w:fldChar w:fldCharType="begin"/>
            </w:r>
            <w:r w:rsidR="00B574B1">
              <w:rPr>
                <w:webHidden/>
              </w:rPr>
              <w:instrText xml:space="preserve"> PAGEREF _Toc201662499 \h </w:instrText>
            </w:r>
            <w:r w:rsidR="00B574B1">
              <w:rPr>
                <w:webHidden/>
              </w:rPr>
            </w:r>
            <w:r w:rsidR="00B574B1">
              <w:rPr>
                <w:webHidden/>
              </w:rPr>
              <w:fldChar w:fldCharType="separate"/>
            </w:r>
            <w:r w:rsidR="00B574B1">
              <w:rPr>
                <w:webHidden/>
              </w:rPr>
              <w:t>2</w:t>
            </w:r>
            <w:r w:rsidR="00B574B1">
              <w:rPr>
                <w:webHidden/>
              </w:rPr>
              <w:fldChar w:fldCharType="end"/>
            </w:r>
          </w:hyperlink>
        </w:p>
        <w:p w14:paraId="257DE5ED" w14:textId="3260E568"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00" w:history="1">
            <w:r w:rsidR="00B574B1" w:rsidRPr="00802426">
              <w:rPr>
                <w:rStyle w:val="Hyperlink"/>
              </w:rPr>
              <w:t>3.2</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Risk Matrix as a Multifactorial Concept</w:t>
            </w:r>
            <w:r w:rsidR="00B574B1">
              <w:rPr>
                <w:webHidden/>
              </w:rPr>
              <w:tab/>
            </w:r>
            <w:r w:rsidR="00B574B1">
              <w:rPr>
                <w:webHidden/>
              </w:rPr>
              <w:fldChar w:fldCharType="begin"/>
            </w:r>
            <w:r w:rsidR="00B574B1">
              <w:rPr>
                <w:webHidden/>
              </w:rPr>
              <w:instrText xml:space="preserve"> PAGEREF _Toc201662500 \h </w:instrText>
            </w:r>
            <w:r w:rsidR="00B574B1">
              <w:rPr>
                <w:webHidden/>
              </w:rPr>
            </w:r>
            <w:r w:rsidR="00B574B1">
              <w:rPr>
                <w:webHidden/>
              </w:rPr>
              <w:fldChar w:fldCharType="separate"/>
            </w:r>
            <w:r w:rsidR="00B574B1">
              <w:rPr>
                <w:webHidden/>
              </w:rPr>
              <w:t>4</w:t>
            </w:r>
            <w:r w:rsidR="00B574B1">
              <w:rPr>
                <w:webHidden/>
              </w:rPr>
              <w:fldChar w:fldCharType="end"/>
            </w:r>
          </w:hyperlink>
        </w:p>
        <w:p w14:paraId="69EA7BAE" w14:textId="79A59F4F"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01" w:history="1">
            <w:r w:rsidR="00B574B1" w:rsidRPr="00802426">
              <w:rPr>
                <w:rStyle w:val="Hyperlink"/>
              </w:rPr>
              <w:t>3.3</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Risk Assessment</w:t>
            </w:r>
            <w:r w:rsidR="00B574B1">
              <w:rPr>
                <w:webHidden/>
              </w:rPr>
              <w:tab/>
            </w:r>
            <w:r w:rsidR="00B574B1">
              <w:rPr>
                <w:webHidden/>
              </w:rPr>
              <w:fldChar w:fldCharType="begin"/>
            </w:r>
            <w:r w:rsidR="00B574B1">
              <w:rPr>
                <w:webHidden/>
              </w:rPr>
              <w:instrText xml:space="preserve"> PAGEREF _Toc201662501 \h </w:instrText>
            </w:r>
            <w:r w:rsidR="00B574B1">
              <w:rPr>
                <w:webHidden/>
              </w:rPr>
            </w:r>
            <w:r w:rsidR="00B574B1">
              <w:rPr>
                <w:webHidden/>
              </w:rPr>
              <w:fldChar w:fldCharType="separate"/>
            </w:r>
            <w:r w:rsidR="00B574B1">
              <w:rPr>
                <w:webHidden/>
              </w:rPr>
              <w:t>6</w:t>
            </w:r>
            <w:r w:rsidR="00B574B1">
              <w:rPr>
                <w:webHidden/>
              </w:rPr>
              <w:fldChar w:fldCharType="end"/>
            </w:r>
          </w:hyperlink>
        </w:p>
        <w:p w14:paraId="6397B719" w14:textId="06A0A5E7"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02" w:history="1">
            <w:r w:rsidR="00B574B1" w:rsidRPr="00802426">
              <w:rPr>
                <w:rStyle w:val="Hyperlink"/>
              </w:rPr>
              <w:t>3.4</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Risk Control</w:t>
            </w:r>
            <w:r w:rsidR="00B574B1">
              <w:rPr>
                <w:webHidden/>
              </w:rPr>
              <w:tab/>
            </w:r>
            <w:r w:rsidR="00B574B1">
              <w:rPr>
                <w:webHidden/>
              </w:rPr>
              <w:fldChar w:fldCharType="begin"/>
            </w:r>
            <w:r w:rsidR="00B574B1">
              <w:rPr>
                <w:webHidden/>
              </w:rPr>
              <w:instrText xml:space="preserve"> PAGEREF _Toc201662502 \h </w:instrText>
            </w:r>
            <w:r w:rsidR="00B574B1">
              <w:rPr>
                <w:webHidden/>
              </w:rPr>
            </w:r>
            <w:r w:rsidR="00B574B1">
              <w:rPr>
                <w:webHidden/>
              </w:rPr>
              <w:fldChar w:fldCharType="separate"/>
            </w:r>
            <w:r w:rsidR="00B574B1">
              <w:rPr>
                <w:webHidden/>
              </w:rPr>
              <w:t>6</w:t>
            </w:r>
            <w:r w:rsidR="00B574B1">
              <w:rPr>
                <w:webHidden/>
              </w:rPr>
              <w:fldChar w:fldCharType="end"/>
            </w:r>
          </w:hyperlink>
        </w:p>
        <w:p w14:paraId="4E5821B5" w14:textId="7D20D1C5" w:rsidR="00B574B1" w:rsidRDefault="009C76D3">
          <w:pPr>
            <w:pStyle w:val="TOC3"/>
            <w:rPr>
              <w:rFonts w:asciiTheme="minorHAnsi" w:eastAsiaTheme="minorEastAsia" w:hAnsiTheme="minorHAnsi" w:cstheme="minorBidi"/>
              <w:i w:val="0"/>
              <w:noProof/>
              <w:color w:val="auto"/>
              <w:sz w:val="24"/>
              <w:szCs w:val="24"/>
              <w:bdr w:val="none" w:sz="0" w:space="0" w:color="auto"/>
              <w:lang w:val="en-GB" w:eastAsia="en-GB"/>
              <w14:ligatures w14:val="standardContextual"/>
            </w:rPr>
          </w:pPr>
          <w:hyperlink w:anchor="_Toc201662503" w:history="1">
            <w:r w:rsidR="00B574B1" w:rsidRPr="00802426">
              <w:rPr>
                <w:rStyle w:val="Hyperlink"/>
                <w:noProof/>
              </w:rPr>
              <w:t>3.4.1</w:t>
            </w:r>
            <w:r w:rsidR="00B574B1">
              <w:rPr>
                <w:rFonts w:asciiTheme="minorHAnsi" w:eastAsiaTheme="minorEastAsia" w:hAnsiTheme="minorHAnsi" w:cstheme="minorBidi"/>
                <w:i w:val="0"/>
                <w:noProof/>
                <w:color w:val="auto"/>
                <w:sz w:val="24"/>
                <w:szCs w:val="24"/>
                <w:bdr w:val="none" w:sz="0" w:space="0" w:color="auto"/>
                <w:lang w:val="en-GB" w:eastAsia="en-GB"/>
                <w14:ligatures w14:val="standardContextual"/>
              </w:rPr>
              <w:tab/>
            </w:r>
            <w:r w:rsidR="00B574B1" w:rsidRPr="00802426">
              <w:rPr>
                <w:rStyle w:val="Hyperlink"/>
                <w:noProof/>
              </w:rPr>
              <w:t>Special Considerations</w:t>
            </w:r>
            <w:r w:rsidR="00B574B1">
              <w:rPr>
                <w:noProof/>
                <w:webHidden/>
              </w:rPr>
              <w:tab/>
            </w:r>
            <w:r w:rsidR="00B574B1">
              <w:rPr>
                <w:noProof/>
                <w:webHidden/>
              </w:rPr>
              <w:fldChar w:fldCharType="begin"/>
            </w:r>
            <w:r w:rsidR="00B574B1">
              <w:rPr>
                <w:noProof/>
                <w:webHidden/>
              </w:rPr>
              <w:instrText xml:space="preserve"> PAGEREF _Toc201662503 \h </w:instrText>
            </w:r>
            <w:r w:rsidR="00B574B1">
              <w:rPr>
                <w:noProof/>
                <w:webHidden/>
              </w:rPr>
            </w:r>
            <w:r w:rsidR="00B574B1">
              <w:rPr>
                <w:noProof/>
                <w:webHidden/>
              </w:rPr>
              <w:fldChar w:fldCharType="separate"/>
            </w:r>
            <w:r w:rsidR="00B574B1">
              <w:rPr>
                <w:noProof/>
                <w:webHidden/>
              </w:rPr>
              <w:t>8</w:t>
            </w:r>
            <w:r w:rsidR="00B574B1">
              <w:rPr>
                <w:noProof/>
                <w:webHidden/>
              </w:rPr>
              <w:fldChar w:fldCharType="end"/>
            </w:r>
          </w:hyperlink>
        </w:p>
        <w:p w14:paraId="2611FE9D" w14:textId="64FA5C4C"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04" w:history="1">
            <w:r w:rsidR="00B574B1" w:rsidRPr="00802426">
              <w:rPr>
                <w:rStyle w:val="Hyperlink"/>
                <w:lang w:eastAsia="zh-CN"/>
              </w:rPr>
              <w:t>3.5</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lang w:eastAsia="zh-CN"/>
              </w:rPr>
              <w:t>Documentation and Compliance</w:t>
            </w:r>
            <w:r w:rsidR="00B574B1">
              <w:rPr>
                <w:webHidden/>
              </w:rPr>
              <w:tab/>
            </w:r>
            <w:r w:rsidR="00B574B1">
              <w:rPr>
                <w:webHidden/>
              </w:rPr>
              <w:fldChar w:fldCharType="begin"/>
            </w:r>
            <w:r w:rsidR="00B574B1">
              <w:rPr>
                <w:webHidden/>
              </w:rPr>
              <w:instrText xml:space="preserve"> PAGEREF _Toc201662504 \h </w:instrText>
            </w:r>
            <w:r w:rsidR="00B574B1">
              <w:rPr>
                <w:webHidden/>
              </w:rPr>
            </w:r>
            <w:r w:rsidR="00B574B1">
              <w:rPr>
                <w:webHidden/>
              </w:rPr>
              <w:fldChar w:fldCharType="separate"/>
            </w:r>
            <w:r w:rsidR="00B574B1">
              <w:rPr>
                <w:webHidden/>
              </w:rPr>
              <w:t>9</w:t>
            </w:r>
            <w:r w:rsidR="00B574B1">
              <w:rPr>
                <w:webHidden/>
              </w:rPr>
              <w:fldChar w:fldCharType="end"/>
            </w:r>
          </w:hyperlink>
        </w:p>
        <w:p w14:paraId="1B61890E" w14:textId="71885B1C"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05" w:history="1">
            <w:r w:rsidR="00B574B1" w:rsidRPr="00802426">
              <w:rPr>
                <w:rStyle w:val="Hyperlink"/>
              </w:rPr>
              <w:t>3.6</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Risk Review / Lifecyle Management</w:t>
            </w:r>
            <w:r w:rsidR="00B574B1">
              <w:rPr>
                <w:webHidden/>
              </w:rPr>
              <w:tab/>
            </w:r>
            <w:r w:rsidR="00B574B1">
              <w:rPr>
                <w:webHidden/>
              </w:rPr>
              <w:fldChar w:fldCharType="begin"/>
            </w:r>
            <w:r w:rsidR="00B574B1">
              <w:rPr>
                <w:webHidden/>
              </w:rPr>
              <w:instrText xml:space="preserve"> PAGEREF _Toc201662505 \h </w:instrText>
            </w:r>
            <w:r w:rsidR="00B574B1">
              <w:rPr>
                <w:webHidden/>
              </w:rPr>
            </w:r>
            <w:r w:rsidR="00B574B1">
              <w:rPr>
                <w:webHidden/>
              </w:rPr>
              <w:fldChar w:fldCharType="separate"/>
            </w:r>
            <w:r w:rsidR="00B574B1">
              <w:rPr>
                <w:webHidden/>
              </w:rPr>
              <w:t>10</w:t>
            </w:r>
            <w:r w:rsidR="00B574B1">
              <w:rPr>
                <w:webHidden/>
              </w:rPr>
              <w:fldChar w:fldCharType="end"/>
            </w:r>
          </w:hyperlink>
        </w:p>
        <w:p w14:paraId="07D3A486" w14:textId="650F0F4F"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06" w:history="1">
            <w:r w:rsidR="00B574B1" w:rsidRPr="00802426">
              <w:rPr>
                <w:rStyle w:val="Hyperlink"/>
                <w:noProof/>
              </w:rPr>
              <w:t>4.</w:t>
            </w:r>
            <w:r w:rsidR="00B574B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tab/>
            </w:r>
            <w:r w:rsidR="00B574B1" w:rsidRPr="00802426">
              <w:rPr>
                <w:rStyle w:val="Hyperlink"/>
                <w:noProof/>
              </w:rPr>
              <w:t>CHEMICAL TESTING AND ASSESSMENT</w:t>
            </w:r>
            <w:r w:rsidR="00B574B1">
              <w:rPr>
                <w:noProof/>
                <w:webHidden/>
              </w:rPr>
              <w:tab/>
            </w:r>
            <w:r w:rsidR="00B574B1">
              <w:rPr>
                <w:noProof/>
                <w:webHidden/>
              </w:rPr>
              <w:fldChar w:fldCharType="begin"/>
            </w:r>
            <w:r w:rsidR="00B574B1">
              <w:rPr>
                <w:noProof/>
                <w:webHidden/>
              </w:rPr>
              <w:instrText xml:space="preserve"> PAGEREF _Toc201662506 \h </w:instrText>
            </w:r>
            <w:r w:rsidR="00B574B1">
              <w:rPr>
                <w:noProof/>
                <w:webHidden/>
              </w:rPr>
            </w:r>
            <w:r w:rsidR="00B574B1">
              <w:rPr>
                <w:noProof/>
                <w:webHidden/>
              </w:rPr>
              <w:fldChar w:fldCharType="separate"/>
            </w:r>
            <w:r w:rsidR="00B574B1">
              <w:rPr>
                <w:noProof/>
                <w:webHidden/>
              </w:rPr>
              <w:t>11</w:t>
            </w:r>
            <w:r w:rsidR="00B574B1">
              <w:rPr>
                <w:noProof/>
                <w:webHidden/>
              </w:rPr>
              <w:fldChar w:fldCharType="end"/>
            </w:r>
          </w:hyperlink>
        </w:p>
        <w:p w14:paraId="5D5B5243" w14:textId="58CBA795"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07" w:history="1">
            <w:r w:rsidR="00B574B1" w:rsidRPr="00802426">
              <w:rPr>
                <w:rStyle w:val="Hyperlink"/>
              </w:rPr>
              <w:t>4.1</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Prior Knowledge</w:t>
            </w:r>
            <w:r w:rsidR="00B574B1">
              <w:rPr>
                <w:webHidden/>
              </w:rPr>
              <w:tab/>
            </w:r>
            <w:r w:rsidR="00B574B1">
              <w:rPr>
                <w:webHidden/>
              </w:rPr>
              <w:fldChar w:fldCharType="begin"/>
            </w:r>
            <w:r w:rsidR="00B574B1">
              <w:rPr>
                <w:webHidden/>
              </w:rPr>
              <w:instrText xml:space="preserve"> PAGEREF _Toc201662507 \h </w:instrText>
            </w:r>
            <w:r w:rsidR="00B574B1">
              <w:rPr>
                <w:webHidden/>
              </w:rPr>
            </w:r>
            <w:r w:rsidR="00B574B1">
              <w:rPr>
                <w:webHidden/>
              </w:rPr>
              <w:fldChar w:fldCharType="separate"/>
            </w:r>
            <w:r w:rsidR="00B574B1">
              <w:rPr>
                <w:webHidden/>
              </w:rPr>
              <w:t>11</w:t>
            </w:r>
            <w:r w:rsidR="00B574B1">
              <w:rPr>
                <w:webHidden/>
              </w:rPr>
              <w:fldChar w:fldCharType="end"/>
            </w:r>
          </w:hyperlink>
        </w:p>
        <w:p w14:paraId="136FCD47" w14:textId="4E1B2146"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08" w:history="1">
            <w:r w:rsidR="00B574B1" w:rsidRPr="00802426">
              <w:rPr>
                <w:rStyle w:val="Hyperlink"/>
              </w:rPr>
              <w:t>4.2</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Component Selection</w:t>
            </w:r>
            <w:r w:rsidR="00B574B1">
              <w:rPr>
                <w:webHidden/>
              </w:rPr>
              <w:tab/>
            </w:r>
            <w:r w:rsidR="00B574B1">
              <w:rPr>
                <w:webHidden/>
              </w:rPr>
              <w:fldChar w:fldCharType="begin"/>
            </w:r>
            <w:r w:rsidR="00B574B1">
              <w:rPr>
                <w:webHidden/>
              </w:rPr>
              <w:instrText xml:space="preserve"> PAGEREF _Toc201662508 \h </w:instrText>
            </w:r>
            <w:r w:rsidR="00B574B1">
              <w:rPr>
                <w:webHidden/>
              </w:rPr>
            </w:r>
            <w:r w:rsidR="00B574B1">
              <w:rPr>
                <w:webHidden/>
              </w:rPr>
              <w:fldChar w:fldCharType="separate"/>
            </w:r>
            <w:r w:rsidR="00B574B1">
              <w:rPr>
                <w:webHidden/>
              </w:rPr>
              <w:t>12</w:t>
            </w:r>
            <w:r w:rsidR="00B574B1">
              <w:rPr>
                <w:webHidden/>
              </w:rPr>
              <w:fldChar w:fldCharType="end"/>
            </w:r>
          </w:hyperlink>
        </w:p>
        <w:p w14:paraId="4322D6B6" w14:textId="2F48A35F"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09" w:history="1">
            <w:r w:rsidR="00B574B1" w:rsidRPr="00802426">
              <w:rPr>
                <w:rStyle w:val="Hyperlink"/>
              </w:rPr>
              <w:t>4.3</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Extractable Study</w:t>
            </w:r>
            <w:r w:rsidR="00B574B1">
              <w:rPr>
                <w:webHidden/>
              </w:rPr>
              <w:tab/>
            </w:r>
            <w:r w:rsidR="00B574B1">
              <w:rPr>
                <w:webHidden/>
              </w:rPr>
              <w:fldChar w:fldCharType="begin"/>
            </w:r>
            <w:r w:rsidR="00B574B1">
              <w:rPr>
                <w:webHidden/>
              </w:rPr>
              <w:instrText xml:space="preserve"> PAGEREF _Toc201662509 \h </w:instrText>
            </w:r>
            <w:r w:rsidR="00B574B1">
              <w:rPr>
                <w:webHidden/>
              </w:rPr>
            </w:r>
            <w:r w:rsidR="00B574B1">
              <w:rPr>
                <w:webHidden/>
              </w:rPr>
              <w:fldChar w:fldCharType="separate"/>
            </w:r>
            <w:r w:rsidR="00B574B1">
              <w:rPr>
                <w:webHidden/>
              </w:rPr>
              <w:t>12</w:t>
            </w:r>
            <w:r w:rsidR="00B574B1">
              <w:rPr>
                <w:webHidden/>
              </w:rPr>
              <w:fldChar w:fldCharType="end"/>
            </w:r>
          </w:hyperlink>
        </w:p>
        <w:p w14:paraId="2A93ED9E" w14:textId="4931F277" w:rsidR="00B574B1" w:rsidRDefault="009C76D3">
          <w:pPr>
            <w:pStyle w:val="TOC3"/>
            <w:rPr>
              <w:rFonts w:asciiTheme="minorHAnsi" w:eastAsiaTheme="minorEastAsia" w:hAnsiTheme="minorHAnsi" w:cstheme="minorBidi"/>
              <w:i w:val="0"/>
              <w:noProof/>
              <w:color w:val="auto"/>
              <w:sz w:val="24"/>
              <w:szCs w:val="24"/>
              <w:bdr w:val="none" w:sz="0" w:space="0" w:color="auto"/>
              <w:lang w:val="en-GB" w:eastAsia="en-GB"/>
              <w14:ligatures w14:val="standardContextual"/>
            </w:rPr>
          </w:pPr>
          <w:hyperlink w:anchor="_Toc201662510" w:history="1">
            <w:r w:rsidR="00B574B1" w:rsidRPr="00802426">
              <w:rPr>
                <w:rStyle w:val="Hyperlink"/>
                <w:noProof/>
              </w:rPr>
              <w:t>4.3.1</w:t>
            </w:r>
            <w:r w:rsidR="00B574B1">
              <w:rPr>
                <w:rFonts w:asciiTheme="minorHAnsi" w:eastAsiaTheme="minorEastAsia" w:hAnsiTheme="minorHAnsi" w:cstheme="minorBidi"/>
                <w:i w:val="0"/>
                <w:noProof/>
                <w:color w:val="auto"/>
                <w:sz w:val="24"/>
                <w:szCs w:val="24"/>
                <w:bdr w:val="none" w:sz="0" w:space="0" w:color="auto"/>
                <w:lang w:val="en-GB" w:eastAsia="en-GB"/>
                <w14:ligatures w14:val="standardContextual"/>
              </w:rPr>
              <w:tab/>
            </w:r>
            <w:r w:rsidR="00B574B1" w:rsidRPr="00802426">
              <w:rPr>
                <w:rStyle w:val="Hyperlink"/>
                <w:noProof/>
              </w:rPr>
              <w:t>Semi-Quantitative Extractables Study</w:t>
            </w:r>
            <w:r w:rsidR="00B574B1">
              <w:rPr>
                <w:noProof/>
                <w:webHidden/>
              </w:rPr>
              <w:tab/>
            </w:r>
            <w:r w:rsidR="00B574B1">
              <w:rPr>
                <w:noProof/>
                <w:webHidden/>
              </w:rPr>
              <w:fldChar w:fldCharType="begin"/>
            </w:r>
            <w:r w:rsidR="00B574B1">
              <w:rPr>
                <w:noProof/>
                <w:webHidden/>
              </w:rPr>
              <w:instrText xml:space="preserve"> PAGEREF _Toc201662510 \h </w:instrText>
            </w:r>
            <w:r w:rsidR="00B574B1">
              <w:rPr>
                <w:noProof/>
                <w:webHidden/>
              </w:rPr>
            </w:r>
            <w:r w:rsidR="00B574B1">
              <w:rPr>
                <w:noProof/>
                <w:webHidden/>
              </w:rPr>
              <w:fldChar w:fldCharType="separate"/>
            </w:r>
            <w:r w:rsidR="00B574B1">
              <w:rPr>
                <w:noProof/>
                <w:webHidden/>
              </w:rPr>
              <w:t>13</w:t>
            </w:r>
            <w:r w:rsidR="00B574B1">
              <w:rPr>
                <w:noProof/>
                <w:webHidden/>
              </w:rPr>
              <w:fldChar w:fldCharType="end"/>
            </w:r>
          </w:hyperlink>
        </w:p>
        <w:p w14:paraId="080F96A6" w14:textId="21E958A5" w:rsidR="00B574B1" w:rsidRDefault="009C76D3">
          <w:pPr>
            <w:pStyle w:val="TOC3"/>
            <w:rPr>
              <w:rFonts w:asciiTheme="minorHAnsi" w:eastAsiaTheme="minorEastAsia" w:hAnsiTheme="minorHAnsi" w:cstheme="minorBidi"/>
              <w:i w:val="0"/>
              <w:noProof/>
              <w:color w:val="auto"/>
              <w:sz w:val="24"/>
              <w:szCs w:val="24"/>
              <w:bdr w:val="none" w:sz="0" w:space="0" w:color="auto"/>
              <w:lang w:val="en-GB" w:eastAsia="en-GB"/>
              <w14:ligatures w14:val="standardContextual"/>
            </w:rPr>
          </w:pPr>
          <w:hyperlink w:anchor="_Toc201662511" w:history="1">
            <w:r w:rsidR="00B574B1" w:rsidRPr="00802426">
              <w:rPr>
                <w:rStyle w:val="Hyperlink"/>
                <w:noProof/>
              </w:rPr>
              <w:t>4.3.2</w:t>
            </w:r>
            <w:r w:rsidR="00B574B1">
              <w:rPr>
                <w:rFonts w:asciiTheme="minorHAnsi" w:eastAsiaTheme="minorEastAsia" w:hAnsiTheme="minorHAnsi" w:cstheme="minorBidi"/>
                <w:i w:val="0"/>
                <w:noProof/>
                <w:color w:val="auto"/>
                <w:sz w:val="24"/>
                <w:szCs w:val="24"/>
                <w:bdr w:val="none" w:sz="0" w:space="0" w:color="auto"/>
                <w:lang w:val="en-GB" w:eastAsia="en-GB"/>
                <w14:ligatures w14:val="standardContextual"/>
              </w:rPr>
              <w:tab/>
            </w:r>
            <w:r w:rsidR="00B574B1" w:rsidRPr="00802426">
              <w:rPr>
                <w:rStyle w:val="Hyperlink"/>
                <w:noProof/>
              </w:rPr>
              <w:t>Quantitative Extractables Study</w:t>
            </w:r>
            <w:r w:rsidR="00B574B1">
              <w:rPr>
                <w:noProof/>
                <w:webHidden/>
              </w:rPr>
              <w:tab/>
            </w:r>
            <w:r w:rsidR="00B574B1">
              <w:rPr>
                <w:noProof/>
                <w:webHidden/>
              </w:rPr>
              <w:fldChar w:fldCharType="begin"/>
            </w:r>
            <w:r w:rsidR="00B574B1">
              <w:rPr>
                <w:noProof/>
                <w:webHidden/>
              </w:rPr>
              <w:instrText xml:space="preserve"> PAGEREF _Toc201662511 \h </w:instrText>
            </w:r>
            <w:r w:rsidR="00B574B1">
              <w:rPr>
                <w:noProof/>
                <w:webHidden/>
              </w:rPr>
            </w:r>
            <w:r w:rsidR="00B574B1">
              <w:rPr>
                <w:noProof/>
                <w:webHidden/>
              </w:rPr>
              <w:fldChar w:fldCharType="separate"/>
            </w:r>
            <w:r w:rsidR="00B574B1">
              <w:rPr>
                <w:noProof/>
                <w:webHidden/>
              </w:rPr>
              <w:t>14</w:t>
            </w:r>
            <w:r w:rsidR="00B574B1">
              <w:rPr>
                <w:noProof/>
                <w:webHidden/>
              </w:rPr>
              <w:fldChar w:fldCharType="end"/>
            </w:r>
          </w:hyperlink>
        </w:p>
        <w:p w14:paraId="59132662" w14:textId="2E833D10"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12" w:history="1">
            <w:r w:rsidR="00B574B1" w:rsidRPr="00802426">
              <w:rPr>
                <w:rStyle w:val="Hyperlink"/>
              </w:rPr>
              <w:t>4.4</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Leachables Study</w:t>
            </w:r>
            <w:r w:rsidR="00B574B1">
              <w:rPr>
                <w:webHidden/>
              </w:rPr>
              <w:tab/>
            </w:r>
            <w:r w:rsidR="00B574B1">
              <w:rPr>
                <w:webHidden/>
              </w:rPr>
              <w:fldChar w:fldCharType="begin"/>
            </w:r>
            <w:r w:rsidR="00B574B1">
              <w:rPr>
                <w:webHidden/>
              </w:rPr>
              <w:instrText xml:space="preserve"> PAGEREF _Toc201662512 \h </w:instrText>
            </w:r>
            <w:r w:rsidR="00B574B1">
              <w:rPr>
                <w:webHidden/>
              </w:rPr>
            </w:r>
            <w:r w:rsidR="00B574B1">
              <w:rPr>
                <w:webHidden/>
              </w:rPr>
              <w:fldChar w:fldCharType="separate"/>
            </w:r>
            <w:r w:rsidR="00B574B1">
              <w:rPr>
                <w:webHidden/>
              </w:rPr>
              <w:t>14</w:t>
            </w:r>
            <w:r w:rsidR="00B574B1">
              <w:rPr>
                <w:webHidden/>
              </w:rPr>
              <w:fldChar w:fldCharType="end"/>
            </w:r>
          </w:hyperlink>
        </w:p>
        <w:p w14:paraId="4EB473C3" w14:textId="31B84ECB"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13" w:history="1">
            <w:r w:rsidR="00B574B1" w:rsidRPr="00802426">
              <w:rPr>
                <w:rStyle w:val="Hyperlink"/>
              </w:rPr>
              <w:t>4.5</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Simulated Leachable Study</w:t>
            </w:r>
            <w:r w:rsidR="00B574B1">
              <w:rPr>
                <w:webHidden/>
              </w:rPr>
              <w:tab/>
            </w:r>
            <w:r w:rsidR="00B574B1">
              <w:rPr>
                <w:webHidden/>
              </w:rPr>
              <w:fldChar w:fldCharType="begin"/>
            </w:r>
            <w:r w:rsidR="00B574B1">
              <w:rPr>
                <w:webHidden/>
              </w:rPr>
              <w:instrText xml:space="preserve"> PAGEREF _Toc201662513 \h </w:instrText>
            </w:r>
            <w:r w:rsidR="00B574B1">
              <w:rPr>
                <w:webHidden/>
              </w:rPr>
            </w:r>
            <w:r w:rsidR="00B574B1">
              <w:rPr>
                <w:webHidden/>
              </w:rPr>
              <w:fldChar w:fldCharType="separate"/>
            </w:r>
            <w:r w:rsidR="00B574B1">
              <w:rPr>
                <w:webHidden/>
              </w:rPr>
              <w:t>15</w:t>
            </w:r>
            <w:r w:rsidR="00B574B1">
              <w:rPr>
                <w:webHidden/>
              </w:rPr>
              <w:fldChar w:fldCharType="end"/>
            </w:r>
          </w:hyperlink>
        </w:p>
        <w:p w14:paraId="7BC9EAD6" w14:textId="1697A118"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14" w:history="1">
            <w:r w:rsidR="00B574B1" w:rsidRPr="00802426">
              <w:rPr>
                <w:rStyle w:val="Hyperlink"/>
              </w:rPr>
              <w:t>4.6</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Extractable and Leachable Correlation</w:t>
            </w:r>
            <w:r w:rsidR="00B574B1">
              <w:rPr>
                <w:webHidden/>
              </w:rPr>
              <w:tab/>
            </w:r>
            <w:r w:rsidR="00B574B1">
              <w:rPr>
                <w:webHidden/>
              </w:rPr>
              <w:fldChar w:fldCharType="begin"/>
            </w:r>
            <w:r w:rsidR="00B574B1">
              <w:rPr>
                <w:webHidden/>
              </w:rPr>
              <w:instrText xml:space="preserve"> PAGEREF _Toc201662514 \h </w:instrText>
            </w:r>
            <w:r w:rsidR="00B574B1">
              <w:rPr>
                <w:webHidden/>
              </w:rPr>
            </w:r>
            <w:r w:rsidR="00B574B1">
              <w:rPr>
                <w:webHidden/>
              </w:rPr>
              <w:fldChar w:fldCharType="separate"/>
            </w:r>
            <w:r w:rsidR="00B574B1">
              <w:rPr>
                <w:webHidden/>
              </w:rPr>
              <w:t>16</w:t>
            </w:r>
            <w:r w:rsidR="00B574B1">
              <w:rPr>
                <w:webHidden/>
              </w:rPr>
              <w:fldChar w:fldCharType="end"/>
            </w:r>
          </w:hyperlink>
        </w:p>
        <w:p w14:paraId="0C42FC45" w14:textId="51958D5B"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15" w:history="1">
            <w:r w:rsidR="00B574B1" w:rsidRPr="00802426">
              <w:rPr>
                <w:rStyle w:val="Hyperlink"/>
                <w:noProof/>
              </w:rPr>
              <w:t>5.</w:t>
            </w:r>
            <w:r w:rsidR="00B574B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tab/>
            </w:r>
            <w:r w:rsidR="00B574B1" w:rsidRPr="00802426">
              <w:rPr>
                <w:rStyle w:val="Hyperlink"/>
                <w:noProof/>
              </w:rPr>
              <w:t>ANALYTICAL EVALUATION THRESHOLD</w:t>
            </w:r>
            <w:r w:rsidR="00B574B1">
              <w:rPr>
                <w:noProof/>
                <w:webHidden/>
              </w:rPr>
              <w:tab/>
            </w:r>
            <w:r w:rsidR="00B574B1">
              <w:rPr>
                <w:noProof/>
                <w:webHidden/>
              </w:rPr>
              <w:fldChar w:fldCharType="begin"/>
            </w:r>
            <w:r w:rsidR="00B574B1">
              <w:rPr>
                <w:noProof/>
                <w:webHidden/>
              </w:rPr>
              <w:instrText xml:space="preserve"> PAGEREF _Toc201662515 \h </w:instrText>
            </w:r>
            <w:r w:rsidR="00B574B1">
              <w:rPr>
                <w:noProof/>
                <w:webHidden/>
              </w:rPr>
            </w:r>
            <w:r w:rsidR="00B574B1">
              <w:rPr>
                <w:noProof/>
                <w:webHidden/>
              </w:rPr>
              <w:fldChar w:fldCharType="separate"/>
            </w:r>
            <w:r w:rsidR="00B574B1">
              <w:rPr>
                <w:noProof/>
                <w:webHidden/>
              </w:rPr>
              <w:t>17</w:t>
            </w:r>
            <w:r w:rsidR="00B574B1">
              <w:rPr>
                <w:noProof/>
                <w:webHidden/>
              </w:rPr>
              <w:fldChar w:fldCharType="end"/>
            </w:r>
          </w:hyperlink>
        </w:p>
        <w:p w14:paraId="00D4A588" w14:textId="0E56DE95"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16" w:history="1">
            <w:r w:rsidR="00B574B1" w:rsidRPr="00802426">
              <w:rPr>
                <w:rStyle w:val="Hyperlink"/>
              </w:rPr>
              <w:t>5.1</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Analytical Uncertainty Factor</w:t>
            </w:r>
            <w:r w:rsidR="00B574B1">
              <w:rPr>
                <w:webHidden/>
              </w:rPr>
              <w:tab/>
            </w:r>
            <w:r w:rsidR="00B574B1">
              <w:rPr>
                <w:webHidden/>
              </w:rPr>
              <w:fldChar w:fldCharType="begin"/>
            </w:r>
            <w:r w:rsidR="00B574B1">
              <w:rPr>
                <w:webHidden/>
              </w:rPr>
              <w:instrText xml:space="preserve"> PAGEREF _Toc201662516 \h </w:instrText>
            </w:r>
            <w:r w:rsidR="00B574B1">
              <w:rPr>
                <w:webHidden/>
              </w:rPr>
            </w:r>
            <w:r w:rsidR="00B574B1">
              <w:rPr>
                <w:webHidden/>
              </w:rPr>
              <w:fldChar w:fldCharType="separate"/>
            </w:r>
            <w:r w:rsidR="00B574B1">
              <w:rPr>
                <w:webHidden/>
              </w:rPr>
              <w:t>18</w:t>
            </w:r>
            <w:r w:rsidR="00B574B1">
              <w:rPr>
                <w:webHidden/>
              </w:rPr>
              <w:fldChar w:fldCharType="end"/>
            </w:r>
          </w:hyperlink>
        </w:p>
        <w:p w14:paraId="78DF0A4D" w14:textId="7A9DE798"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17" w:history="1">
            <w:r w:rsidR="00B574B1" w:rsidRPr="00802426">
              <w:rPr>
                <w:rStyle w:val="Hyperlink"/>
                <w:noProof/>
              </w:rPr>
              <w:t>6.</w:t>
            </w:r>
            <w:r w:rsidR="00B574B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tab/>
            </w:r>
            <w:r w:rsidR="00B574B1" w:rsidRPr="00802426">
              <w:rPr>
                <w:rStyle w:val="Hyperlink"/>
                <w:noProof/>
              </w:rPr>
              <w:t>SAFETY ASSESSMENT</w:t>
            </w:r>
            <w:r w:rsidR="00B574B1">
              <w:rPr>
                <w:noProof/>
                <w:webHidden/>
              </w:rPr>
              <w:tab/>
            </w:r>
            <w:r w:rsidR="00B574B1">
              <w:rPr>
                <w:noProof/>
                <w:webHidden/>
              </w:rPr>
              <w:fldChar w:fldCharType="begin"/>
            </w:r>
            <w:r w:rsidR="00B574B1">
              <w:rPr>
                <w:noProof/>
                <w:webHidden/>
              </w:rPr>
              <w:instrText xml:space="preserve"> PAGEREF _Toc201662517 \h </w:instrText>
            </w:r>
            <w:r w:rsidR="00B574B1">
              <w:rPr>
                <w:noProof/>
                <w:webHidden/>
              </w:rPr>
            </w:r>
            <w:r w:rsidR="00B574B1">
              <w:rPr>
                <w:noProof/>
                <w:webHidden/>
              </w:rPr>
              <w:fldChar w:fldCharType="separate"/>
            </w:r>
            <w:r w:rsidR="00B574B1">
              <w:rPr>
                <w:noProof/>
                <w:webHidden/>
              </w:rPr>
              <w:t>18</w:t>
            </w:r>
            <w:r w:rsidR="00B574B1">
              <w:rPr>
                <w:noProof/>
                <w:webHidden/>
              </w:rPr>
              <w:fldChar w:fldCharType="end"/>
            </w:r>
          </w:hyperlink>
        </w:p>
        <w:p w14:paraId="1F9B1926" w14:textId="7F73A393"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18" w:history="1">
            <w:r w:rsidR="00B574B1" w:rsidRPr="00802426">
              <w:rPr>
                <w:rStyle w:val="Hyperlink"/>
              </w:rPr>
              <w:t>6.1</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General Principles</w:t>
            </w:r>
            <w:r w:rsidR="00B574B1">
              <w:rPr>
                <w:webHidden/>
              </w:rPr>
              <w:tab/>
            </w:r>
            <w:r w:rsidR="00B574B1">
              <w:rPr>
                <w:webHidden/>
              </w:rPr>
              <w:fldChar w:fldCharType="begin"/>
            </w:r>
            <w:r w:rsidR="00B574B1">
              <w:rPr>
                <w:webHidden/>
              </w:rPr>
              <w:instrText xml:space="preserve"> PAGEREF _Toc201662518 \h </w:instrText>
            </w:r>
            <w:r w:rsidR="00B574B1">
              <w:rPr>
                <w:webHidden/>
              </w:rPr>
            </w:r>
            <w:r w:rsidR="00B574B1">
              <w:rPr>
                <w:webHidden/>
              </w:rPr>
              <w:fldChar w:fldCharType="separate"/>
            </w:r>
            <w:r w:rsidR="00B574B1">
              <w:rPr>
                <w:webHidden/>
              </w:rPr>
              <w:t>18</w:t>
            </w:r>
            <w:r w:rsidR="00B574B1">
              <w:rPr>
                <w:webHidden/>
              </w:rPr>
              <w:fldChar w:fldCharType="end"/>
            </w:r>
          </w:hyperlink>
        </w:p>
        <w:p w14:paraId="1C20787C" w14:textId="54685291"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19" w:history="1">
            <w:r w:rsidR="00B574B1" w:rsidRPr="00802426">
              <w:rPr>
                <w:rStyle w:val="Hyperlink"/>
              </w:rPr>
              <w:t>6.2</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Leachables Classification</w:t>
            </w:r>
            <w:r w:rsidR="00B574B1">
              <w:rPr>
                <w:webHidden/>
              </w:rPr>
              <w:tab/>
            </w:r>
            <w:r w:rsidR="00B574B1">
              <w:rPr>
                <w:webHidden/>
              </w:rPr>
              <w:fldChar w:fldCharType="begin"/>
            </w:r>
            <w:r w:rsidR="00B574B1">
              <w:rPr>
                <w:webHidden/>
              </w:rPr>
              <w:instrText xml:space="preserve"> PAGEREF _Toc201662519 \h </w:instrText>
            </w:r>
            <w:r w:rsidR="00B574B1">
              <w:rPr>
                <w:webHidden/>
              </w:rPr>
            </w:r>
            <w:r w:rsidR="00B574B1">
              <w:rPr>
                <w:webHidden/>
              </w:rPr>
              <w:fldChar w:fldCharType="separate"/>
            </w:r>
            <w:r w:rsidR="00B574B1">
              <w:rPr>
                <w:webHidden/>
              </w:rPr>
              <w:t>20</w:t>
            </w:r>
            <w:r w:rsidR="00B574B1">
              <w:rPr>
                <w:webHidden/>
              </w:rPr>
              <w:fldChar w:fldCharType="end"/>
            </w:r>
          </w:hyperlink>
        </w:p>
        <w:p w14:paraId="24BAF0EF" w14:textId="1C47AD20"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20" w:history="1">
            <w:r w:rsidR="00B574B1" w:rsidRPr="00802426">
              <w:rPr>
                <w:rStyle w:val="Hyperlink"/>
              </w:rPr>
              <w:t>6.3</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Safety Assessment Process</w:t>
            </w:r>
            <w:r w:rsidR="00B574B1">
              <w:rPr>
                <w:webHidden/>
              </w:rPr>
              <w:tab/>
            </w:r>
            <w:r w:rsidR="00B574B1">
              <w:rPr>
                <w:webHidden/>
              </w:rPr>
              <w:fldChar w:fldCharType="begin"/>
            </w:r>
            <w:r w:rsidR="00B574B1">
              <w:rPr>
                <w:webHidden/>
              </w:rPr>
              <w:instrText xml:space="preserve"> PAGEREF _Toc201662520 \h </w:instrText>
            </w:r>
            <w:r w:rsidR="00B574B1">
              <w:rPr>
                <w:webHidden/>
              </w:rPr>
            </w:r>
            <w:r w:rsidR="00B574B1">
              <w:rPr>
                <w:webHidden/>
              </w:rPr>
              <w:fldChar w:fldCharType="separate"/>
            </w:r>
            <w:r w:rsidR="00B574B1">
              <w:rPr>
                <w:webHidden/>
              </w:rPr>
              <w:t>21</w:t>
            </w:r>
            <w:r w:rsidR="00B574B1">
              <w:rPr>
                <w:webHidden/>
              </w:rPr>
              <w:fldChar w:fldCharType="end"/>
            </w:r>
          </w:hyperlink>
        </w:p>
        <w:p w14:paraId="32B9CA08" w14:textId="2A95C736"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21" w:history="1">
            <w:r w:rsidR="00B574B1" w:rsidRPr="00802426">
              <w:rPr>
                <w:rStyle w:val="Hyperlink"/>
              </w:rPr>
              <w:t>6.4</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rPr>
              <w:t>Route Specific Considerations and Special Cases (Local Toxicity Concerns)</w:t>
            </w:r>
            <w:r w:rsidR="00B574B1">
              <w:rPr>
                <w:webHidden/>
              </w:rPr>
              <w:tab/>
            </w:r>
            <w:r w:rsidR="00B574B1">
              <w:rPr>
                <w:webHidden/>
              </w:rPr>
              <w:fldChar w:fldCharType="begin"/>
            </w:r>
            <w:r w:rsidR="00B574B1">
              <w:rPr>
                <w:webHidden/>
              </w:rPr>
              <w:instrText xml:space="preserve"> PAGEREF _Toc201662521 \h </w:instrText>
            </w:r>
            <w:r w:rsidR="00B574B1">
              <w:rPr>
                <w:webHidden/>
              </w:rPr>
            </w:r>
            <w:r w:rsidR="00B574B1">
              <w:rPr>
                <w:webHidden/>
              </w:rPr>
              <w:fldChar w:fldCharType="separate"/>
            </w:r>
            <w:r w:rsidR="00B574B1">
              <w:rPr>
                <w:webHidden/>
              </w:rPr>
              <w:t>22</w:t>
            </w:r>
            <w:r w:rsidR="00B574B1">
              <w:rPr>
                <w:webHidden/>
              </w:rPr>
              <w:fldChar w:fldCharType="end"/>
            </w:r>
          </w:hyperlink>
        </w:p>
        <w:p w14:paraId="1C885A24" w14:textId="03B8944D" w:rsidR="00B574B1" w:rsidRDefault="009C76D3">
          <w:pPr>
            <w:pStyle w:val="TOC3"/>
            <w:rPr>
              <w:rFonts w:asciiTheme="minorHAnsi" w:eastAsiaTheme="minorEastAsia" w:hAnsiTheme="minorHAnsi" w:cstheme="minorBidi"/>
              <w:i w:val="0"/>
              <w:noProof/>
              <w:color w:val="auto"/>
              <w:sz w:val="24"/>
              <w:szCs w:val="24"/>
              <w:bdr w:val="none" w:sz="0" w:space="0" w:color="auto"/>
              <w:lang w:val="en-GB" w:eastAsia="en-GB"/>
              <w14:ligatures w14:val="standardContextual"/>
            </w:rPr>
          </w:pPr>
          <w:hyperlink w:anchor="_Toc201662522" w:history="1">
            <w:r w:rsidR="00B574B1" w:rsidRPr="00802426">
              <w:rPr>
                <w:rStyle w:val="Hyperlink"/>
                <w:noProof/>
              </w:rPr>
              <w:t>6.4.1</w:t>
            </w:r>
            <w:r w:rsidR="00B574B1">
              <w:rPr>
                <w:rFonts w:asciiTheme="minorHAnsi" w:eastAsiaTheme="minorEastAsia" w:hAnsiTheme="minorHAnsi" w:cstheme="minorBidi"/>
                <w:i w:val="0"/>
                <w:noProof/>
                <w:color w:val="auto"/>
                <w:sz w:val="24"/>
                <w:szCs w:val="24"/>
                <w:bdr w:val="none" w:sz="0" w:space="0" w:color="auto"/>
                <w:lang w:val="en-GB" w:eastAsia="en-GB"/>
                <w14:ligatures w14:val="standardContextual"/>
              </w:rPr>
              <w:tab/>
            </w:r>
            <w:r w:rsidR="00B574B1" w:rsidRPr="00802426">
              <w:rPr>
                <w:rStyle w:val="Hyperlink"/>
                <w:noProof/>
              </w:rPr>
              <w:t>Ophthalmic Drug Products</w:t>
            </w:r>
            <w:r w:rsidR="00B574B1">
              <w:rPr>
                <w:noProof/>
                <w:webHidden/>
              </w:rPr>
              <w:tab/>
            </w:r>
            <w:r w:rsidR="00B574B1">
              <w:rPr>
                <w:noProof/>
                <w:webHidden/>
              </w:rPr>
              <w:fldChar w:fldCharType="begin"/>
            </w:r>
            <w:r w:rsidR="00B574B1">
              <w:rPr>
                <w:noProof/>
                <w:webHidden/>
              </w:rPr>
              <w:instrText xml:space="preserve"> PAGEREF _Toc201662522 \h </w:instrText>
            </w:r>
            <w:r w:rsidR="00B574B1">
              <w:rPr>
                <w:noProof/>
                <w:webHidden/>
              </w:rPr>
            </w:r>
            <w:r w:rsidR="00B574B1">
              <w:rPr>
                <w:noProof/>
                <w:webHidden/>
              </w:rPr>
              <w:fldChar w:fldCharType="separate"/>
            </w:r>
            <w:r w:rsidR="00B574B1">
              <w:rPr>
                <w:noProof/>
                <w:webHidden/>
              </w:rPr>
              <w:t>23</w:t>
            </w:r>
            <w:r w:rsidR="00B574B1">
              <w:rPr>
                <w:noProof/>
                <w:webHidden/>
              </w:rPr>
              <w:fldChar w:fldCharType="end"/>
            </w:r>
          </w:hyperlink>
        </w:p>
        <w:p w14:paraId="35F6EAA0" w14:textId="68F02AEF" w:rsidR="00B574B1" w:rsidRDefault="009C76D3">
          <w:pPr>
            <w:pStyle w:val="TOC3"/>
            <w:rPr>
              <w:rFonts w:asciiTheme="minorHAnsi" w:eastAsiaTheme="minorEastAsia" w:hAnsiTheme="minorHAnsi" w:cstheme="minorBidi"/>
              <w:i w:val="0"/>
              <w:noProof/>
              <w:color w:val="auto"/>
              <w:sz w:val="24"/>
              <w:szCs w:val="24"/>
              <w:bdr w:val="none" w:sz="0" w:space="0" w:color="auto"/>
              <w:lang w:val="en-GB" w:eastAsia="en-GB"/>
              <w14:ligatures w14:val="standardContextual"/>
            </w:rPr>
          </w:pPr>
          <w:hyperlink w:anchor="_Toc201662523" w:history="1">
            <w:r w:rsidR="00B574B1" w:rsidRPr="00802426">
              <w:rPr>
                <w:rStyle w:val="Hyperlink"/>
                <w:noProof/>
              </w:rPr>
              <w:t>6.4.2</w:t>
            </w:r>
            <w:r w:rsidR="00B574B1">
              <w:rPr>
                <w:rFonts w:asciiTheme="minorHAnsi" w:eastAsiaTheme="minorEastAsia" w:hAnsiTheme="minorHAnsi" w:cstheme="minorBidi"/>
                <w:i w:val="0"/>
                <w:noProof/>
                <w:color w:val="auto"/>
                <w:sz w:val="24"/>
                <w:szCs w:val="24"/>
                <w:bdr w:val="none" w:sz="0" w:space="0" w:color="auto"/>
                <w:lang w:val="en-GB" w:eastAsia="en-GB"/>
                <w14:ligatures w14:val="standardContextual"/>
              </w:rPr>
              <w:tab/>
            </w:r>
            <w:r w:rsidR="00B574B1" w:rsidRPr="00802426">
              <w:rPr>
                <w:rStyle w:val="Hyperlink"/>
                <w:noProof/>
              </w:rPr>
              <w:t>Intracerebral, Intrathecal, Epidural Drug Products</w:t>
            </w:r>
            <w:r w:rsidR="00B574B1">
              <w:rPr>
                <w:noProof/>
                <w:webHidden/>
              </w:rPr>
              <w:tab/>
            </w:r>
            <w:r w:rsidR="00B574B1">
              <w:rPr>
                <w:noProof/>
                <w:webHidden/>
              </w:rPr>
              <w:fldChar w:fldCharType="begin"/>
            </w:r>
            <w:r w:rsidR="00B574B1">
              <w:rPr>
                <w:noProof/>
                <w:webHidden/>
              </w:rPr>
              <w:instrText xml:space="preserve"> PAGEREF _Toc201662523 \h </w:instrText>
            </w:r>
            <w:r w:rsidR="00B574B1">
              <w:rPr>
                <w:noProof/>
                <w:webHidden/>
              </w:rPr>
            </w:r>
            <w:r w:rsidR="00B574B1">
              <w:rPr>
                <w:noProof/>
                <w:webHidden/>
              </w:rPr>
              <w:fldChar w:fldCharType="separate"/>
            </w:r>
            <w:r w:rsidR="00B574B1">
              <w:rPr>
                <w:noProof/>
                <w:webHidden/>
              </w:rPr>
              <w:t>23</w:t>
            </w:r>
            <w:r w:rsidR="00B574B1">
              <w:rPr>
                <w:noProof/>
                <w:webHidden/>
              </w:rPr>
              <w:fldChar w:fldCharType="end"/>
            </w:r>
          </w:hyperlink>
        </w:p>
        <w:p w14:paraId="5C93C3E8" w14:textId="0F22A624" w:rsidR="00B574B1" w:rsidRDefault="009C76D3">
          <w:pPr>
            <w:pStyle w:val="TOC3"/>
            <w:rPr>
              <w:rFonts w:asciiTheme="minorHAnsi" w:eastAsiaTheme="minorEastAsia" w:hAnsiTheme="minorHAnsi" w:cstheme="minorBidi"/>
              <w:i w:val="0"/>
              <w:noProof/>
              <w:color w:val="auto"/>
              <w:sz w:val="24"/>
              <w:szCs w:val="24"/>
              <w:bdr w:val="none" w:sz="0" w:space="0" w:color="auto"/>
              <w:lang w:val="en-GB" w:eastAsia="en-GB"/>
              <w14:ligatures w14:val="standardContextual"/>
            </w:rPr>
          </w:pPr>
          <w:hyperlink w:anchor="_Toc201662524" w:history="1">
            <w:r w:rsidR="00B574B1" w:rsidRPr="00802426">
              <w:rPr>
                <w:rStyle w:val="Hyperlink"/>
                <w:noProof/>
              </w:rPr>
              <w:t>6.4.3</w:t>
            </w:r>
            <w:r w:rsidR="00B574B1">
              <w:rPr>
                <w:rFonts w:asciiTheme="minorHAnsi" w:eastAsiaTheme="minorEastAsia" w:hAnsiTheme="minorHAnsi" w:cstheme="minorBidi"/>
                <w:i w:val="0"/>
                <w:noProof/>
                <w:color w:val="auto"/>
                <w:sz w:val="24"/>
                <w:szCs w:val="24"/>
                <w:bdr w:val="none" w:sz="0" w:space="0" w:color="auto"/>
                <w:lang w:val="en-GB" w:eastAsia="en-GB"/>
                <w14:ligatures w14:val="standardContextual"/>
              </w:rPr>
              <w:tab/>
            </w:r>
            <w:r w:rsidR="00B574B1" w:rsidRPr="00802426">
              <w:rPr>
                <w:rStyle w:val="Hyperlink"/>
                <w:noProof/>
              </w:rPr>
              <w:t>Dermal Drug Products</w:t>
            </w:r>
            <w:r w:rsidR="00B574B1">
              <w:rPr>
                <w:noProof/>
                <w:webHidden/>
              </w:rPr>
              <w:tab/>
            </w:r>
            <w:r w:rsidR="00B574B1">
              <w:rPr>
                <w:noProof/>
                <w:webHidden/>
              </w:rPr>
              <w:fldChar w:fldCharType="begin"/>
            </w:r>
            <w:r w:rsidR="00B574B1">
              <w:rPr>
                <w:noProof/>
                <w:webHidden/>
              </w:rPr>
              <w:instrText xml:space="preserve"> PAGEREF _Toc201662524 \h </w:instrText>
            </w:r>
            <w:r w:rsidR="00B574B1">
              <w:rPr>
                <w:noProof/>
                <w:webHidden/>
              </w:rPr>
            </w:r>
            <w:r w:rsidR="00B574B1">
              <w:rPr>
                <w:noProof/>
                <w:webHidden/>
              </w:rPr>
              <w:fldChar w:fldCharType="separate"/>
            </w:r>
            <w:r w:rsidR="00B574B1">
              <w:rPr>
                <w:noProof/>
                <w:webHidden/>
              </w:rPr>
              <w:t>23</w:t>
            </w:r>
            <w:r w:rsidR="00B574B1">
              <w:rPr>
                <w:noProof/>
                <w:webHidden/>
              </w:rPr>
              <w:fldChar w:fldCharType="end"/>
            </w:r>
          </w:hyperlink>
        </w:p>
        <w:p w14:paraId="2BCF7592" w14:textId="67CCE039" w:rsidR="00B574B1" w:rsidRDefault="009C76D3">
          <w:pPr>
            <w:pStyle w:val="TOC3"/>
            <w:rPr>
              <w:rFonts w:asciiTheme="minorHAnsi" w:eastAsiaTheme="minorEastAsia" w:hAnsiTheme="minorHAnsi" w:cstheme="minorBidi"/>
              <w:i w:val="0"/>
              <w:noProof/>
              <w:color w:val="auto"/>
              <w:sz w:val="24"/>
              <w:szCs w:val="24"/>
              <w:bdr w:val="none" w:sz="0" w:space="0" w:color="auto"/>
              <w:lang w:val="en-GB" w:eastAsia="en-GB"/>
              <w14:ligatures w14:val="standardContextual"/>
            </w:rPr>
          </w:pPr>
          <w:hyperlink w:anchor="_Toc201662525" w:history="1">
            <w:r w:rsidR="00B574B1" w:rsidRPr="00802426">
              <w:rPr>
                <w:rStyle w:val="Hyperlink"/>
                <w:noProof/>
              </w:rPr>
              <w:t>6.4.4</w:t>
            </w:r>
            <w:r w:rsidR="00B574B1">
              <w:rPr>
                <w:rFonts w:asciiTheme="minorHAnsi" w:eastAsiaTheme="minorEastAsia" w:hAnsiTheme="minorHAnsi" w:cstheme="minorBidi"/>
                <w:i w:val="0"/>
                <w:noProof/>
                <w:color w:val="auto"/>
                <w:sz w:val="24"/>
                <w:szCs w:val="24"/>
                <w:bdr w:val="none" w:sz="0" w:space="0" w:color="auto"/>
                <w:lang w:val="en-GB" w:eastAsia="en-GB"/>
                <w14:ligatures w14:val="standardContextual"/>
              </w:rPr>
              <w:tab/>
            </w:r>
            <w:r w:rsidR="00B574B1" w:rsidRPr="00802426">
              <w:rPr>
                <w:rStyle w:val="Hyperlink"/>
                <w:noProof/>
              </w:rPr>
              <w:t>Sensitization Potential</w:t>
            </w:r>
            <w:r w:rsidR="00B574B1">
              <w:rPr>
                <w:noProof/>
                <w:webHidden/>
              </w:rPr>
              <w:tab/>
            </w:r>
            <w:r w:rsidR="00B574B1">
              <w:rPr>
                <w:noProof/>
                <w:webHidden/>
              </w:rPr>
              <w:fldChar w:fldCharType="begin"/>
            </w:r>
            <w:r w:rsidR="00B574B1">
              <w:rPr>
                <w:noProof/>
                <w:webHidden/>
              </w:rPr>
              <w:instrText xml:space="preserve"> PAGEREF _Toc201662525 \h </w:instrText>
            </w:r>
            <w:r w:rsidR="00B574B1">
              <w:rPr>
                <w:noProof/>
                <w:webHidden/>
              </w:rPr>
            </w:r>
            <w:r w:rsidR="00B574B1">
              <w:rPr>
                <w:noProof/>
                <w:webHidden/>
              </w:rPr>
              <w:fldChar w:fldCharType="separate"/>
            </w:r>
            <w:r w:rsidR="00B574B1">
              <w:rPr>
                <w:noProof/>
                <w:webHidden/>
              </w:rPr>
              <w:t>24</w:t>
            </w:r>
            <w:r w:rsidR="00B574B1">
              <w:rPr>
                <w:noProof/>
                <w:webHidden/>
              </w:rPr>
              <w:fldChar w:fldCharType="end"/>
            </w:r>
          </w:hyperlink>
        </w:p>
        <w:p w14:paraId="50DE3728" w14:textId="0620BD0F"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26" w:history="1">
            <w:r w:rsidR="00B574B1" w:rsidRPr="00802426">
              <w:rPr>
                <w:rStyle w:val="Hyperlink"/>
                <w:lang w:eastAsia="en-US"/>
              </w:rPr>
              <w:t>6.5</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lang w:eastAsia="en-US"/>
              </w:rPr>
              <w:t>Considerations for ICH S9 Products</w:t>
            </w:r>
            <w:r w:rsidR="00B574B1">
              <w:rPr>
                <w:webHidden/>
              </w:rPr>
              <w:tab/>
            </w:r>
            <w:r w:rsidR="00B574B1">
              <w:rPr>
                <w:webHidden/>
              </w:rPr>
              <w:fldChar w:fldCharType="begin"/>
            </w:r>
            <w:r w:rsidR="00B574B1">
              <w:rPr>
                <w:webHidden/>
              </w:rPr>
              <w:instrText xml:space="preserve"> PAGEREF _Toc201662526 \h </w:instrText>
            </w:r>
            <w:r w:rsidR="00B574B1">
              <w:rPr>
                <w:webHidden/>
              </w:rPr>
            </w:r>
            <w:r w:rsidR="00B574B1">
              <w:rPr>
                <w:webHidden/>
              </w:rPr>
              <w:fldChar w:fldCharType="separate"/>
            </w:r>
            <w:r w:rsidR="00B574B1">
              <w:rPr>
                <w:webHidden/>
              </w:rPr>
              <w:t>26</w:t>
            </w:r>
            <w:r w:rsidR="00B574B1">
              <w:rPr>
                <w:webHidden/>
              </w:rPr>
              <w:fldChar w:fldCharType="end"/>
            </w:r>
          </w:hyperlink>
        </w:p>
        <w:p w14:paraId="77F6E08E" w14:textId="7243ED7C" w:rsidR="00B574B1" w:rsidRDefault="009C76D3">
          <w:pPr>
            <w:pStyle w:val="TOC2"/>
            <w:rPr>
              <w:rFonts w:asciiTheme="minorHAnsi" w:eastAsiaTheme="minorEastAsia" w:hAnsiTheme="minorHAnsi" w:cstheme="minorBidi"/>
              <w:color w:val="auto"/>
              <w:sz w:val="24"/>
              <w:szCs w:val="24"/>
              <w:bdr w:val="none" w:sz="0" w:space="0" w:color="auto"/>
              <w:lang w:val="en-GB" w:eastAsia="en-GB"/>
              <w14:ligatures w14:val="standardContextual"/>
            </w:rPr>
          </w:pPr>
          <w:hyperlink w:anchor="_Toc201662527" w:history="1">
            <w:r w:rsidR="00B574B1" w:rsidRPr="00802426">
              <w:rPr>
                <w:rStyle w:val="Hyperlink"/>
                <w:lang w:eastAsia="en-US"/>
              </w:rPr>
              <w:t>6.6</w:t>
            </w:r>
            <w:r w:rsidR="00B574B1">
              <w:rPr>
                <w:rFonts w:asciiTheme="minorHAnsi" w:eastAsiaTheme="minorEastAsia" w:hAnsiTheme="minorHAnsi" w:cstheme="minorBidi"/>
                <w:color w:val="auto"/>
                <w:sz w:val="24"/>
                <w:szCs w:val="24"/>
                <w:bdr w:val="none" w:sz="0" w:space="0" w:color="auto"/>
                <w:lang w:val="en-GB" w:eastAsia="en-GB"/>
                <w14:ligatures w14:val="standardContextual"/>
              </w:rPr>
              <w:tab/>
            </w:r>
            <w:r w:rsidR="00B574B1" w:rsidRPr="00802426">
              <w:rPr>
                <w:rStyle w:val="Hyperlink"/>
                <w:lang w:eastAsia="en-US"/>
              </w:rPr>
              <w:t>Content of Safety Assessment</w:t>
            </w:r>
            <w:r w:rsidR="00B574B1">
              <w:rPr>
                <w:webHidden/>
              </w:rPr>
              <w:tab/>
            </w:r>
            <w:r w:rsidR="00B574B1">
              <w:rPr>
                <w:webHidden/>
              </w:rPr>
              <w:fldChar w:fldCharType="begin"/>
            </w:r>
            <w:r w:rsidR="00B574B1">
              <w:rPr>
                <w:webHidden/>
              </w:rPr>
              <w:instrText xml:space="preserve"> PAGEREF _Toc201662527 \h </w:instrText>
            </w:r>
            <w:r w:rsidR="00B574B1">
              <w:rPr>
                <w:webHidden/>
              </w:rPr>
            </w:r>
            <w:r w:rsidR="00B574B1">
              <w:rPr>
                <w:webHidden/>
              </w:rPr>
              <w:fldChar w:fldCharType="separate"/>
            </w:r>
            <w:r w:rsidR="00B574B1">
              <w:rPr>
                <w:webHidden/>
              </w:rPr>
              <w:t>26</w:t>
            </w:r>
            <w:r w:rsidR="00B574B1">
              <w:rPr>
                <w:webHidden/>
              </w:rPr>
              <w:fldChar w:fldCharType="end"/>
            </w:r>
          </w:hyperlink>
        </w:p>
        <w:p w14:paraId="55119E6C" w14:textId="253AAEAD"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28" w:history="1">
            <w:r w:rsidR="00B574B1" w:rsidRPr="00802426">
              <w:rPr>
                <w:rStyle w:val="Hyperlink"/>
                <w:noProof/>
              </w:rPr>
              <w:t>7.</w:t>
            </w:r>
            <w:r w:rsidR="00B574B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tab/>
            </w:r>
            <w:r w:rsidR="00B574B1" w:rsidRPr="00802426">
              <w:rPr>
                <w:rStyle w:val="Hyperlink"/>
                <w:noProof/>
              </w:rPr>
              <w:t>GLOSSARY</w:t>
            </w:r>
            <w:r w:rsidR="00B574B1">
              <w:rPr>
                <w:noProof/>
                <w:webHidden/>
              </w:rPr>
              <w:tab/>
            </w:r>
            <w:r w:rsidR="00B574B1">
              <w:rPr>
                <w:noProof/>
                <w:webHidden/>
              </w:rPr>
              <w:fldChar w:fldCharType="begin"/>
            </w:r>
            <w:r w:rsidR="00B574B1">
              <w:rPr>
                <w:noProof/>
                <w:webHidden/>
              </w:rPr>
              <w:instrText xml:space="preserve"> PAGEREF _Toc201662528 \h </w:instrText>
            </w:r>
            <w:r w:rsidR="00B574B1">
              <w:rPr>
                <w:noProof/>
                <w:webHidden/>
              </w:rPr>
            </w:r>
            <w:r w:rsidR="00B574B1">
              <w:rPr>
                <w:noProof/>
                <w:webHidden/>
              </w:rPr>
              <w:fldChar w:fldCharType="separate"/>
            </w:r>
            <w:r w:rsidR="00B574B1">
              <w:rPr>
                <w:noProof/>
                <w:webHidden/>
              </w:rPr>
              <w:t>26</w:t>
            </w:r>
            <w:r w:rsidR="00B574B1">
              <w:rPr>
                <w:noProof/>
                <w:webHidden/>
              </w:rPr>
              <w:fldChar w:fldCharType="end"/>
            </w:r>
          </w:hyperlink>
        </w:p>
        <w:p w14:paraId="1FF7725F" w14:textId="216F8ABC"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29" w:history="1">
            <w:r w:rsidR="00B574B1" w:rsidRPr="00802426">
              <w:rPr>
                <w:rStyle w:val="Hyperlink"/>
                <w:noProof/>
              </w:rPr>
              <w:t>8.</w:t>
            </w:r>
            <w:r w:rsidR="00B574B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tab/>
            </w:r>
            <w:r w:rsidR="00B574B1" w:rsidRPr="00802426">
              <w:rPr>
                <w:rStyle w:val="Hyperlink"/>
                <w:noProof/>
              </w:rPr>
              <w:t>REFERENCES</w:t>
            </w:r>
            <w:r w:rsidR="00B574B1">
              <w:rPr>
                <w:noProof/>
                <w:webHidden/>
              </w:rPr>
              <w:tab/>
            </w:r>
            <w:r w:rsidR="00B574B1">
              <w:rPr>
                <w:noProof/>
                <w:webHidden/>
              </w:rPr>
              <w:fldChar w:fldCharType="begin"/>
            </w:r>
            <w:r w:rsidR="00B574B1">
              <w:rPr>
                <w:noProof/>
                <w:webHidden/>
              </w:rPr>
              <w:instrText xml:space="preserve"> PAGEREF _Toc201662529 \h </w:instrText>
            </w:r>
            <w:r w:rsidR="00B574B1">
              <w:rPr>
                <w:noProof/>
                <w:webHidden/>
              </w:rPr>
            </w:r>
            <w:r w:rsidR="00B574B1">
              <w:rPr>
                <w:noProof/>
                <w:webHidden/>
              </w:rPr>
              <w:fldChar w:fldCharType="separate"/>
            </w:r>
            <w:r w:rsidR="00B574B1">
              <w:rPr>
                <w:noProof/>
                <w:webHidden/>
              </w:rPr>
              <w:t>28</w:t>
            </w:r>
            <w:r w:rsidR="00B574B1">
              <w:rPr>
                <w:noProof/>
                <w:webHidden/>
              </w:rPr>
              <w:fldChar w:fldCharType="end"/>
            </w:r>
          </w:hyperlink>
        </w:p>
        <w:p w14:paraId="72EB77E2" w14:textId="1DBC30BD"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30" w:history="1">
            <w:r w:rsidR="00B574B1" w:rsidRPr="00802426">
              <w:rPr>
                <w:rStyle w:val="Hyperlink"/>
                <w:noProof/>
              </w:rPr>
              <w:t>Appendix 1: Typical workflows for E&amp;L risk assessment and risk control</w:t>
            </w:r>
            <w:r w:rsidR="00B574B1">
              <w:rPr>
                <w:noProof/>
                <w:webHidden/>
              </w:rPr>
              <w:tab/>
            </w:r>
            <w:r w:rsidR="00B574B1">
              <w:rPr>
                <w:noProof/>
                <w:webHidden/>
              </w:rPr>
              <w:fldChar w:fldCharType="begin"/>
            </w:r>
            <w:r w:rsidR="00B574B1">
              <w:rPr>
                <w:noProof/>
                <w:webHidden/>
              </w:rPr>
              <w:instrText xml:space="preserve"> PAGEREF _Toc201662530 \h </w:instrText>
            </w:r>
            <w:r w:rsidR="00B574B1">
              <w:rPr>
                <w:noProof/>
                <w:webHidden/>
              </w:rPr>
            </w:r>
            <w:r w:rsidR="00B574B1">
              <w:rPr>
                <w:noProof/>
                <w:webHidden/>
              </w:rPr>
              <w:fldChar w:fldCharType="separate"/>
            </w:r>
            <w:r w:rsidR="00B574B1">
              <w:rPr>
                <w:noProof/>
                <w:webHidden/>
              </w:rPr>
              <w:t>29</w:t>
            </w:r>
            <w:r w:rsidR="00B574B1">
              <w:rPr>
                <w:noProof/>
                <w:webHidden/>
              </w:rPr>
              <w:fldChar w:fldCharType="end"/>
            </w:r>
          </w:hyperlink>
        </w:p>
        <w:p w14:paraId="4E62FCFB" w14:textId="1D01CF43"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31" w:history="1">
            <w:r w:rsidR="00B574B1" w:rsidRPr="00802426">
              <w:rPr>
                <w:rStyle w:val="Hyperlink"/>
                <w:noProof/>
              </w:rPr>
              <w:t>Appendix 2: Types of Studies</w:t>
            </w:r>
            <w:r w:rsidR="00B574B1">
              <w:rPr>
                <w:noProof/>
                <w:webHidden/>
              </w:rPr>
              <w:tab/>
            </w:r>
            <w:r w:rsidR="00B574B1">
              <w:rPr>
                <w:noProof/>
                <w:webHidden/>
              </w:rPr>
              <w:fldChar w:fldCharType="begin"/>
            </w:r>
            <w:r w:rsidR="00B574B1">
              <w:rPr>
                <w:noProof/>
                <w:webHidden/>
              </w:rPr>
              <w:instrText xml:space="preserve"> PAGEREF _Toc201662531 \h </w:instrText>
            </w:r>
            <w:r w:rsidR="00B574B1">
              <w:rPr>
                <w:noProof/>
                <w:webHidden/>
              </w:rPr>
            </w:r>
            <w:r w:rsidR="00B574B1">
              <w:rPr>
                <w:noProof/>
                <w:webHidden/>
              </w:rPr>
              <w:fldChar w:fldCharType="separate"/>
            </w:r>
            <w:r w:rsidR="00B574B1">
              <w:rPr>
                <w:noProof/>
                <w:webHidden/>
              </w:rPr>
              <w:t>33</w:t>
            </w:r>
            <w:r w:rsidR="00B574B1">
              <w:rPr>
                <w:noProof/>
                <w:webHidden/>
              </w:rPr>
              <w:fldChar w:fldCharType="end"/>
            </w:r>
          </w:hyperlink>
        </w:p>
        <w:p w14:paraId="469007F8" w14:textId="2A70EA76"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32" w:history="1">
            <w:r w:rsidR="00B574B1" w:rsidRPr="00802426">
              <w:rPr>
                <w:rStyle w:val="Hyperlink"/>
                <w:noProof/>
              </w:rPr>
              <w:t>Appendix 3 AET Calculations</w:t>
            </w:r>
            <w:r w:rsidR="00B574B1">
              <w:rPr>
                <w:noProof/>
                <w:webHidden/>
              </w:rPr>
              <w:tab/>
            </w:r>
            <w:r w:rsidR="00B574B1">
              <w:rPr>
                <w:noProof/>
                <w:webHidden/>
              </w:rPr>
              <w:fldChar w:fldCharType="begin"/>
            </w:r>
            <w:r w:rsidR="00B574B1">
              <w:rPr>
                <w:noProof/>
                <w:webHidden/>
              </w:rPr>
              <w:instrText xml:space="preserve"> PAGEREF _Toc201662532 \h </w:instrText>
            </w:r>
            <w:r w:rsidR="00B574B1">
              <w:rPr>
                <w:noProof/>
                <w:webHidden/>
              </w:rPr>
            </w:r>
            <w:r w:rsidR="00B574B1">
              <w:rPr>
                <w:noProof/>
                <w:webHidden/>
              </w:rPr>
              <w:fldChar w:fldCharType="separate"/>
            </w:r>
            <w:r w:rsidR="00B574B1">
              <w:rPr>
                <w:noProof/>
                <w:webHidden/>
              </w:rPr>
              <w:t>34</w:t>
            </w:r>
            <w:r w:rsidR="00B574B1">
              <w:rPr>
                <w:noProof/>
                <w:webHidden/>
              </w:rPr>
              <w:fldChar w:fldCharType="end"/>
            </w:r>
          </w:hyperlink>
        </w:p>
        <w:p w14:paraId="1E8E8652" w14:textId="2CFB1F5B"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33" w:history="1">
            <w:r w:rsidR="00B574B1" w:rsidRPr="00802426">
              <w:rPr>
                <w:rStyle w:val="Hyperlink"/>
                <w:noProof/>
              </w:rPr>
              <w:t>Appendix 4: Potency Classes for Leachables</w:t>
            </w:r>
            <w:r w:rsidR="00B574B1">
              <w:rPr>
                <w:noProof/>
                <w:webHidden/>
              </w:rPr>
              <w:tab/>
            </w:r>
            <w:r w:rsidR="00B574B1">
              <w:rPr>
                <w:noProof/>
                <w:webHidden/>
              </w:rPr>
              <w:fldChar w:fldCharType="begin"/>
            </w:r>
            <w:r w:rsidR="00B574B1">
              <w:rPr>
                <w:noProof/>
                <w:webHidden/>
              </w:rPr>
              <w:instrText xml:space="preserve"> PAGEREF _Toc201662533 \h </w:instrText>
            </w:r>
            <w:r w:rsidR="00B574B1">
              <w:rPr>
                <w:noProof/>
                <w:webHidden/>
              </w:rPr>
            </w:r>
            <w:r w:rsidR="00B574B1">
              <w:rPr>
                <w:noProof/>
                <w:webHidden/>
              </w:rPr>
              <w:fldChar w:fldCharType="separate"/>
            </w:r>
            <w:r w:rsidR="00B574B1">
              <w:rPr>
                <w:noProof/>
                <w:webHidden/>
              </w:rPr>
              <w:t>36</w:t>
            </w:r>
            <w:r w:rsidR="00B574B1">
              <w:rPr>
                <w:noProof/>
                <w:webHidden/>
              </w:rPr>
              <w:fldChar w:fldCharType="end"/>
            </w:r>
          </w:hyperlink>
        </w:p>
        <w:p w14:paraId="5CC3A75E" w14:textId="1D85A847"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34" w:history="1">
            <w:r w:rsidR="00B574B1" w:rsidRPr="00802426">
              <w:rPr>
                <w:rStyle w:val="Hyperlink"/>
                <w:noProof/>
              </w:rPr>
              <w:t>Appendix 5: Methods for Establishing Exposure Limits</w:t>
            </w:r>
            <w:r w:rsidR="00B574B1">
              <w:rPr>
                <w:noProof/>
                <w:webHidden/>
              </w:rPr>
              <w:tab/>
            </w:r>
            <w:r w:rsidR="00B574B1">
              <w:rPr>
                <w:noProof/>
                <w:webHidden/>
              </w:rPr>
              <w:fldChar w:fldCharType="begin"/>
            </w:r>
            <w:r w:rsidR="00B574B1">
              <w:rPr>
                <w:noProof/>
                <w:webHidden/>
              </w:rPr>
              <w:instrText xml:space="preserve"> PAGEREF _Toc201662534 \h </w:instrText>
            </w:r>
            <w:r w:rsidR="00B574B1">
              <w:rPr>
                <w:noProof/>
                <w:webHidden/>
              </w:rPr>
            </w:r>
            <w:r w:rsidR="00B574B1">
              <w:rPr>
                <w:noProof/>
                <w:webHidden/>
              </w:rPr>
              <w:fldChar w:fldCharType="separate"/>
            </w:r>
            <w:r w:rsidR="00B574B1">
              <w:rPr>
                <w:noProof/>
                <w:webHidden/>
              </w:rPr>
              <w:t>41</w:t>
            </w:r>
            <w:r w:rsidR="00B574B1">
              <w:rPr>
                <w:noProof/>
                <w:webHidden/>
              </w:rPr>
              <w:fldChar w:fldCharType="end"/>
            </w:r>
          </w:hyperlink>
        </w:p>
        <w:p w14:paraId="58F8A819" w14:textId="6F667728" w:rsidR="00B574B1" w:rsidRDefault="009C76D3">
          <w:pPr>
            <w:pStyle w:val="TOC1"/>
            <w:rPr>
              <w:rFonts w:asciiTheme="minorHAnsi" w:eastAsiaTheme="minorEastAsia" w:hAnsiTheme="minorHAnsi" w:cstheme="minorBidi"/>
              <w:b w:val="0"/>
              <w:caps w:val="0"/>
              <w:noProof/>
              <w:color w:val="auto"/>
              <w:sz w:val="24"/>
              <w:szCs w:val="24"/>
              <w:bdr w:val="none" w:sz="0" w:space="0" w:color="auto"/>
              <w:lang w:val="en-GB" w:eastAsia="en-GB"/>
              <w14:ligatures w14:val="standardContextual"/>
            </w:rPr>
          </w:pPr>
          <w:hyperlink w:anchor="_Toc201662535" w:history="1">
            <w:r w:rsidR="00B574B1" w:rsidRPr="00802426">
              <w:rPr>
                <w:rStyle w:val="Hyperlink"/>
                <w:noProof/>
              </w:rPr>
              <w:t>Appendix 6: Monographs for Class 1 Leachables</w:t>
            </w:r>
            <w:r w:rsidR="00B574B1">
              <w:rPr>
                <w:noProof/>
                <w:webHidden/>
              </w:rPr>
              <w:tab/>
            </w:r>
            <w:r w:rsidR="00B574B1">
              <w:rPr>
                <w:noProof/>
                <w:webHidden/>
              </w:rPr>
              <w:fldChar w:fldCharType="begin"/>
            </w:r>
            <w:r w:rsidR="00B574B1">
              <w:rPr>
                <w:noProof/>
                <w:webHidden/>
              </w:rPr>
              <w:instrText xml:space="preserve"> PAGEREF _Toc201662535 \h </w:instrText>
            </w:r>
            <w:r w:rsidR="00B574B1">
              <w:rPr>
                <w:noProof/>
                <w:webHidden/>
              </w:rPr>
            </w:r>
            <w:r w:rsidR="00B574B1">
              <w:rPr>
                <w:noProof/>
                <w:webHidden/>
              </w:rPr>
              <w:fldChar w:fldCharType="separate"/>
            </w:r>
            <w:r w:rsidR="00B574B1">
              <w:rPr>
                <w:noProof/>
                <w:webHidden/>
              </w:rPr>
              <w:t>48</w:t>
            </w:r>
            <w:r w:rsidR="00B574B1">
              <w:rPr>
                <w:noProof/>
                <w:webHidden/>
              </w:rPr>
              <w:fldChar w:fldCharType="end"/>
            </w:r>
          </w:hyperlink>
        </w:p>
        <w:p w14:paraId="62028380" w14:textId="5655B6F3" w:rsidR="00FE1CE8" w:rsidRDefault="00FE1CE8">
          <w:r>
            <w:rPr>
              <w:b/>
              <w:bCs/>
              <w:noProof/>
            </w:rPr>
            <w:fldChar w:fldCharType="end"/>
          </w:r>
        </w:p>
      </w:sdtContent>
    </w:sdt>
    <w:p w14:paraId="46A40F40" w14:textId="77777777" w:rsidR="008701B5" w:rsidRPr="008701B5" w:rsidRDefault="008701B5" w:rsidP="0037778F">
      <w:pPr>
        <w:pStyle w:val="Heading1"/>
        <w:numPr>
          <w:ilvl w:val="0"/>
          <w:numId w:val="0"/>
        </w:numPr>
        <w:ind w:left="357"/>
      </w:pPr>
    </w:p>
    <w:p w14:paraId="365974FB" w14:textId="77777777" w:rsidR="008701B5" w:rsidRDefault="008701B5" w:rsidP="1D634000">
      <w:pPr>
        <w:pStyle w:val="Heading1"/>
        <w:numPr>
          <w:ilvl w:val="0"/>
          <w:numId w:val="0"/>
        </w:numPr>
        <w:ind w:left="357"/>
        <w:sectPr w:rsidR="008701B5" w:rsidSect="008701B5">
          <w:headerReference w:type="default" r:id="rId11"/>
          <w:footerReference w:type="default" r:id="rId12"/>
          <w:headerReference w:type="first" r:id="rId13"/>
          <w:footerReference w:type="first" r:id="rId14"/>
          <w:pgSz w:w="11906" w:h="16838"/>
          <w:pgMar w:top="1440" w:right="1440" w:bottom="1440" w:left="1440" w:header="709" w:footer="709" w:gutter="0"/>
          <w:pgNumType w:start="0"/>
          <w:cols w:space="708"/>
          <w:titlePg/>
          <w:docGrid w:linePitch="360"/>
        </w:sectPr>
      </w:pPr>
    </w:p>
    <w:p w14:paraId="20E9A0A5" w14:textId="18E51ACA" w:rsidR="001C57C8" w:rsidRPr="001C57C8" w:rsidRDefault="00A70B58" w:rsidP="0037778F">
      <w:pPr>
        <w:pStyle w:val="Heading1"/>
      </w:pPr>
      <w:bookmarkStart w:id="0" w:name="_Toc201662496"/>
      <w:r>
        <w:lastRenderedPageBreak/>
        <w:t>INTRODUCTION</w:t>
      </w:r>
      <w:bookmarkEnd w:id="0"/>
    </w:p>
    <w:p w14:paraId="726F0533" w14:textId="4E88BC1C" w:rsidR="00124DCC" w:rsidRDefault="00124DCC" w:rsidP="00432054">
      <w:pPr>
        <w:pStyle w:val="ICHTextOnly"/>
        <w:spacing w:after="240"/>
        <w:rPr>
          <w:rFonts w:eastAsia="Arial"/>
        </w:rPr>
      </w:pPr>
      <w:r w:rsidRPr="00124DCC">
        <w:t xml:space="preserve">Leachables are chemical entities that migrate from manufacturing components/systems, packaging or delivery device components into a drug product under the established manufacturing and </w:t>
      </w:r>
      <w:r w:rsidR="00295A23" w:rsidRPr="00124DCC">
        <w:t>labelled</w:t>
      </w:r>
      <w:r w:rsidRPr="00124DCC">
        <w:t xml:space="preserve"> storage conditions. </w:t>
      </w:r>
      <w:r w:rsidRPr="00124DCC">
        <w:rPr>
          <w:rFonts w:eastAsia="Arial"/>
        </w:rPr>
        <w:t>Extractables are chemical entities that are intentionally extracted from manufacturing components/systems, packaging or delivery device components under specified laboratory test conditions and thus are potential leachables.</w:t>
      </w:r>
    </w:p>
    <w:p w14:paraId="3830242C" w14:textId="4389F1C9" w:rsidR="00E7741E" w:rsidRPr="00E7741E" w:rsidRDefault="00E7741E" w:rsidP="00432054">
      <w:pPr>
        <w:pStyle w:val="ICHTextOnly"/>
        <w:spacing w:after="240"/>
      </w:pPr>
      <w:r w:rsidRPr="00E7741E">
        <w:t>This guideline presents a holistic framework and process for the assessment and control of leachable impurities to further expand the existing ICH guidelines on impurities, including impurities in new drug substances (</w:t>
      </w:r>
      <w:r w:rsidR="007E1578" w:rsidRPr="00E7741E">
        <w:t xml:space="preserve">ICH </w:t>
      </w:r>
      <w:r w:rsidRPr="00E7741E">
        <w:t>Q3A) and new drug products (</w:t>
      </w:r>
      <w:r w:rsidR="007E1578" w:rsidRPr="00E7741E">
        <w:t xml:space="preserve">ICH </w:t>
      </w:r>
      <w:r w:rsidRPr="00E7741E">
        <w:t>Q3B), residual solvents (</w:t>
      </w:r>
      <w:r w:rsidR="007E1578" w:rsidRPr="00E7741E">
        <w:t xml:space="preserve">ICH </w:t>
      </w:r>
      <w:r w:rsidRPr="00E7741E">
        <w:t>Q3C), and elemental impurities (</w:t>
      </w:r>
      <w:r w:rsidR="007E1578" w:rsidRPr="00E7741E">
        <w:t xml:space="preserve">ICH </w:t>
      </w:r>
      <w:r w:rsidRPr="00E7741E">
        <w:t>Q3D), as well as DNA reactive (mutagenic) impurities (</w:t>
      </w:r>
      <w:r w:rsidR="007E1578" w:rsidRPr="00E7741E">
        <w:t xml:space="preserve">ICH </w:t>
      </w:r>
      <w:r w:rsidRPr="00E7741E">
        <w:t>M7).  The framework of this guideline follows the principles of risk management as described in ICH Q9.  While the guideline includes materials characterization and process understanding, its primary purpose is to protect patient safety and product quality through assessment and control of leachables in the drug product. Due to rapid advances in materials engineering, device innovations, new manufacturing paradigms and novel therapeutic modalities, the aim is to provide principles and concepts that are forward looking within the scientific and regulatory landscape.</w:t>
      </w:r>
    </w:p>
    <w:p w14:paraId="2CE3B412" w14:textId="67E83A2F" w:rsidR="001C57C8" w:rsidRPr="001C57C8" w:rsidRDefault="00E7741E" w:rsidP="0037778F">
      <w:pPr>
        <w:pStyle w:val="Heading1"/>
      </w:pPr>
      <w:bookmarkStart w:id="1" w:name="_Toc201662497"/>
      <w:r>
        <w:t>SCOPE</w:t>
      </w:r>
      <w:bookmarkEnd w:id="1"/>
    </w:p>
    <w:p w14:paraId="220596D2" w14:textId="093FA49E" w:rsidR="00A6048A" w:rsidRDefault="0087188F" w:rsidP="00C05618">
      <w:pPr>
        <w:pStyle w:val="ICHTextOnly"/>
        <w:spacing w:after="240"/>
      </w:pPr>
      <w:bookmarkStart w:id="2" w:name="_Toc530022147"/>
      <w:bookmarkStart w:id="3" w:name="_Toc531982091"/>
      <w:bookmarkStart w:id="4" w:name="_Toc531982539"/>
      <w:r>
        <w:t xml:space="preserve">The guideline applies to the </w:t>
      </w:r>
      <w:r w:rsidR="001D6384">
        <w:t xml:space="preserve">risk </w:t>
      </w:r>
      <w:r>
        <w:t>assessment and control of leachables in new drug products</w:t>
      </w:r>
      <w:r w:rsidR="00C3747C">
        <w:t>,</w:t>
      </w:r>
      <w:r>
        <w:t xml:space="preserve"> </w:t>
      </w:r>
      <w:r w:rsidR="009D0108">
        <w:t>i</w:t>
      </w:r>
      <w:r w:rsidR="009D0108" w:rsidRPr="009D0108">
        <w:t>ncluding cell and gene therapy products</w:t>
      </w:r>
      <w:r w:rsidR="009D0108">
        <w:t>.</w:t>
      </w:r>
      <w:r w:rsidR="009D0108" w:rsidRPr="009D0108">
        <w:t xml:space="preserve"> </w:t>
      </w:r>
      <w:r w:rsidR="00687D64" w:rsidRPr="00687D64">
        <w:rPr>
          <w:rStyle w:val="ICHTextOnlyChar"/>
        </w:rPr>
        <w:t>Drug-device combination products that require marketing authorizations and meet the definition of pharmaceutical or biological products are also in scope</w:t>
      </w:r>
      <w:r w:rsidR="00687D64" w:rsidRPr="00622D3E">
        <w:t>.</w:t>
      </w:r>
    </w:p>
    <w:p w14:paraId="481CF327" w14:textId="67996E87" w:rsidR="009A40FD" w:rsidRDefault="00A6048A" w:rsidP="00C05618">
      <w:pPr>
        <w:pStyle w:val="ICHTextOnly"/>
        <w:spacing w:after="240"/>
      </w:pPr>
      <w:r w:rsidRPr="695951DC">
        <w:t xml:space="preserve">Organic leachables are the primary focus of this guideline. Though recommended </w:t>
      </w:r>
      <w:r w:rsidRPr="00B609F3">
        <w:t xml:space="preserve">methodologies for elemental analysis are within the scope of this guideline, the safety assessment of elemental leachables </w:t>
      </w:r>
      <w:proofErr w:type="gramStart"/>
      <w:r w:rsidRPr="00B609F3">
        <w:t>are</w:t>
      </w:r>
      <w:proofErr w:type="gramEnd"/>
      <w:r w:rsidRPr="00B609F3">
        <w:t xml:space="preserve"> addressed by ICH Q3D and thus out of scope for this</w:t>
      </w:r>
      <w:r w:rsidRPr="695951DC">
        <w:t xml:space="preserve"> guideline.</w:t>
      </w:r>
    </w:p>
    <w:p w14:paraId="2A804D1E" w14:textId="142AAE76" w:rsidR="00356380" w:rsidRDefault="009A40FD" w:rsidP="00BC6365">
      <w:pPr>
        <w:pStyle w:val="ICHTextOnly"/>
      </w:pPr>
      <w:r w:rsidRPr="695951DC">
        <w:t xml:space="preserve">The guideline also applies to approved products for any changes that are likely to impact the leachable profile or patient exposure such as those relating to formulation, manufacturing, dosing, and/or container closure system (i.e., life cycle management). This </w:t>
      </w:r>
      <w:r w:rsidR="005435B9">
        <w:t>guideline</w:t>
      </w:r>
      <w:r w:rsidR="005435B9" w:rsidRPr="695951DC">
        <w:t xml:space="preserve"> </w:t>
      </w:r>
      <w:r w:rsidRPr="695951DC">
        <w:t>is not intended to apply to extrinsic, extraneous or foreign substances resulting from product contamination or adulteration.</w:t>
      </w:r>
    </w:p>
    <w:p w14:paraId="3AD661E8" w14:textId="52576643" w:rsidR="008E003B" w:rsidRDefault="009A40FD" w:rsidP="00C05618">
      <w:pPr>
        <w:pStyle w:val="ICHTextOnly"/>
        <w:spacing w:after="240"/>
      </w:pPr>
      <w:r w:rsidRPr="00622D3E">
        <w:lastRenderedPageBreak/>
        <w:t xml:space="preserve">This guideline is not </w:t>
      </w:r>
      <w:r w:rsidR="00D264DF">
        <w:t>intended for</w:t>
      </w:r>
      <w:r w:rsidRPr="00622D3E">
        <w:t xml:space="preserve"> herbal medicinal products and crude non-processed products of animal or plant origin. For these products in liquid dosage forms, regional expectations may apply.</w:t>
      </w:r>
    </w:p>
    <w:p w14:paraId="1DDB55DB" w14:textId="1428446D" w:rsidR="00356380" w:rsidRDefault="009A40FD" w:rsidP="00C05618">
      <w:pPr>
        <w:pStyle w:val="ICHTextOnly"/>
        <w:spacing w:after="240"/>
      </w:pPr>
      <w:r w:rsidRPr="695951DC">
        <w:t xml:space="preserve">This guideline </w:t>
      </w:r>
      <w:r w:rsidR="00440DB9">
        <w:t xml:space="preserve">is </w:t>
      </w:r>
      <w:r w:rsidRPr="695951DC">
        <w:t xml:space="preserve">not </w:t>
      </w:r>
      <w:r w:rsidR="009518FE">
        <w:t>inte</w:t>
      </w:r>
      <w:r w:rsidR="00E040DA">
        <w:t>nded for</w:t>
      </w:r>
      <w:r w:rsidRPr="695951DC">
        <w:t xml:space="preserve"> products used during clinical research stages of development. However, in cases of high risk to the patient, principles of this guideline may be applicable to support clinical studies.</w:t>
      </w:r>
    </w:p>
    <w:p w14:paraId="2A68AC2F" w14:textId="1C585B25" w:rsidR="009A40FD" w:rsidRDefault="009A40FD" w:rsidP="00C05618">
      <w:pPr>
        <w:pStyle w:val="ICHTextOnly"/>
        <w:spacing w:after="240"/>
      </w:pPr>
      <w:r>
        <w:t>Generally, radiopharmaceuticals are not considered in scope, unless there is a specific cause for concern.</w:t>
      </w:r>
    </w:p>
    <w:p w14:paraId="60D393DB" w14:textId="6B8D7BB0" w:rsidR="00BD3AB9" w:rsidRDefault="00EC45BD" w:rsidP="00C05618">
      <w:pPr>
        <w:pStyle w:val="ICHTextOnly"/>
        <w:spacing w:after="240"/>
      </w:pPr>
      <w:r>
        <w:t xml:space="preserve">The guideline does not apply to systems used in the manufacture or storage of excipients. </w:t>
      </w:r>
      <w:r w:rsidRPr="6A9D9040">
        <w:rPr>
          <w:rFonts w:eastAsia="Arial" w:cs="Arial"/>
        </w:rPr>
        <w:t>Refer to Section 3.</w:t>
      </w:r>
      <w:r>
        <w:rPr>
          <w:rFonts w:eastAsia="Arial" w:cs="Arial"/>
        </w:rPr>
        <w:t>4.1</w:t>
      </w:r>
      <w:r w:rsidRPr="6A9D9040">
        <w:rPr>
          <w:rFonts w:eastAsia="Arial" w:cs="Arial"/>
        </w:rPr>
        <w:t xml:space="preserve"> for special considerations regarding packaging components for liquid or semiliquid </w:t>
      </w:r>
      <w:r w:rsidR="00EA52BE">
        <w:rPr>
          <w:rFonts w:eastAsia="Arial" w:cs="Arial"/>
        </w:rPr>
        <w:t>active pharmaceutical ingredients (</w:t>
      </w:r>
      <w:r w:rsidRPr="6A9D9040">
        <w:rPr>
          <w:rFonts w:eastAsia="Arial" w:cs="Arial"/>
        </w:rPr>
        <w:t>APIs</w:t>
      </w:r>
      <w:r w:rsidR="00EA52BE">
        <w:rPr>
          <w:rFonts w:eastAsia="Arial" w:cs="Arial"/>
        </w:rPr>
        <w:t>)</w:t>
      </w:r>
      <w:r>
        <w:t>.</w:t>
      </w:r>
      <w:bookmarkEnd w:id="2"/>
      <w:bookmarkEnd w:id="3"/>
      <w:bookmarkEnd w:id="4"/>
    </w:p>
    <w:p w14:paraId="0C2B81E3" w14:textId="230B4483" w:rsidR="00022CC5" w:rsidRPr="00445138" w:rsidRDefault="00B0381F" w:rsidP="00445138">
      <w:pPr>
        <w:pStyle w:val="Heading1"/>
      </w:pPr>
      <w:bookmarkStart w:id="5" w:name="_Toc201662498"/>
      <w:r w:rsidRPr="00445138">
        <w:t>RISK ASSESSMENT AND CONTROL OF EXTRACTABLES AND LEACHABLES</w:t>
      </w:r>
      <w:bookmarkEnd w:id="5"/>
    </w:p>
    <w:p w14:paraId="7C228833" w14:textId="474A3F39" w:rsidR="00022CC5" w:rsidRPr="00037539" w:rsidRDefault="00445138" w:rsidP="00BC6365">
      <w:pPr>
        <w:pStyle w:val="Heading2"/>
      </w:pPr>
      <w:bookmarkStart w:id="6" w:name="_Toc201662499"/>
      <w:r>
        <w:t>General Principles</w:t>
      </w:r>
      <w:bookmarkEnd w:id="6"/>
    </w:p>
    <w:p w14:paraId="6EFE19AE" w14:textId="2D4F4215" w:rsidR="00022CC5" w:rsidRDefault="004B79A3" w:rsidP="00BC6365">
      <w:pPr>
        <w:pStyle w:val="ICHTextOnly"/>
        <w:spacing w:after="120"/>
        <w:rPr>
          <w:bdr w:val="none" w:sz="0" w:space="0" w:color="auto"/>
          <w:lang w:val="en-US"/>
        </w:rPr>
      </w:pPr>
      <w:r w:rsidRPr="004B79A3">
        <w:rPr>
          <w:bdr w:val="none" w:sz="0" w:space="0" w:color="auto"/>
          <w:lang w:val="en-US"/>
        </w:rPr>
        <w:t>The purpose of the guideline is to provide a holistic framework whereby leachables-associated risk can be identified, assessed, and controlled to protect the safety, efficacy, and quality attributes of the finished drug product. Figure 1 is intended to inform product development considerations leading up to product registration as well as continuous quality management process throughout lifecycle management.</w:t>
      </w:r>
    </w:p>
    <w:p w14:paraId="3DD330B3" w14:textId="62C4AD7A" w:rsidR="00A52E29" w:rsidRDefault="00A52E29" w:rsidP="00271785">
      <w:pPr>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rFonts w:ascii="Times New Roman" w:hAnsi="Times New Roman" w:cs="Times New Roman"/>
          <w:sz w:val="24"/>
          <w:szCs w:val="24"/>
          <w:bdr w:val="none" w:sz="0" w:space="0" w:color="auto"/>
          <w:lang w:val="en-US"/>
        </w:rPr>
      </w:pPr>
      <w:r>
        <w:rPr>
          <w:bdr w:val="none" w:sz="0" w:space="0" w:color="auto"/>
          <w:lang w:val="en-US"/>
        </w:rPr>
        <w:br w:type="page"/>
      </w:r>
    </w:p>
    <w:p w14:paraId="2E4010D1" w14:textId="77777777" w:rsidR="00A52E29" w:rsidRDefault="00A52E29" w:rsidP="00271785">
      <w:pPr>
        <w:pStyle w:val="ICHTextOnly"/>
        <w:rPr>
          <w:bdr w:val="none" w:sz="0" w:space="0" w:color="auto"/>
          <w:lang w:val="en-US"/>
        </w:rPr>
      </w:pPr>
    </w:p>
    <w:p w14:paraId="363489C5" w14:textId="77777777" w:rsidR="00057330" w:rsidRDefault="00660C13" w:rsidP="00271785">
      <w:pPr>
        <w:pStyle w:val="ICHTextOnly"/>
        <w:jc w:val="center"/>
        <w:rPr>
          <w:bdr w:val="none" w:sz="0" w:space="0" w:color="auto"/>
        </w:rPr>
      </w:pPr>
      <w:r w:rsidRPr="00213C74">
        <w:rPr>
          <w:b/>
          <w:bCs/>
          <w:bdr w:val="none" w:sz="0" w:space="0" w:color="auto"/>
        </w:rPr>
        <w:t>Figure 1: Overview of the Risk Management Process</w:t>
      </w:r>
      <w:r>
        <w:rPr>
          <w:bdr w:val="none" w:sz="0" w:space="0" w:color="auto"/>
        </w:rPr>
        <w:t xml:space="preserve"> </w:t>
      </w:r>
    </w:p>
    <w:p w14:paraId="24397F04" w14:textId="63FB2E85" w:rsidR="00660C13" w:rsidRPr="00660C13" w:rsidRDefault="00660C13" w:rsidP="00271785">
      <w:pPr>
        <w:pStyle w:val="ICHTextOnly"/>
        <w:jc w:val="center"/>
        <w:rPr>
          <w:bdr w:val="none" w:sz="0" w:space="0" w:color="auto"/>
        </w:rPr>
      </w:pPr>
      <w:r>
        <w:rPr>
          <w:bdr w:val="none" w:sz="0" w:space="0" w:color="auto"/>
        </w:rPr>
        <w:t>(E&amp;L = Extractables and Leachables)</w:t>
      </w:r>
    </w:p>
    <w:p w14:paraId="34E33D63" w14:textId="017A6A61" w:rsidR="00B4278D" w:rsidRDefault="00EA1D98" w:rsidP="00271785">
      <w:pPr>
        <w:pStyle w:val="ICHTextOnly"/>
        <w:rPr>
          <w:bdr w:val="none" w:sz="0" w:space="0" w:color="auto"/>
        </w:rPr>
      </w:pPr>
      <w:r>
        <w:rPr>
          <w:noProof/>
          <w:bdr w:val="none" w:sz="0" w:space="0" w:color="auto"/>
        </w:rPr>
        <w:drawing>
          <wp:inline distT="0" distB="0" distL="0" distR="0" wp14:anchorId="504FAC0E" wp14:editId="460DB6E6">
            <wp:extent cx="5731510" cy="5788025"/>
            <wp:effectExtent l="0" t="0" r="0" b="0"/>
            <wp:docPr id="328166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6685" name="Graphic 32816685"/>
                    <pic:cNvPicPr/>
                  </pic:nvPicPr>
                  <pic:blipFill>
                    <a:blip r:embed="rId15">
                      <a:extLst>
                        <a:ext uri="{96DAC541-7B7A-43D3-8B79-37D633B846F1}">
                          <asvg:svgBlip xmlns:asvg="http://schemas.microsoft.com/office/drawing/2016/SVG/main" r:embed="rId16"/>
                        </a:ext>
                      </a:extLst>
                    </a:blip>
                    <a:stretch>
                      <a:fillRect/>
                    </a:stretch>
                  </pic:blipFill>
                  <pic:spPr>
                    <a:xfrm>
                      <a:off x="0" y="0"/>
                      <a:ext cx="5731510" cy="5788025"/>
                    </a:xfrm>
                    <a:prstGeom prst="rect">
                      <a:avLst/>
                    </a:prstGeom>
                  </pic:spPr>
                </pic:pic>
              </a:graphicData>
            </a:graphic>
          </wp:inline>
        </w:drawing>
      </w:r>
    </w:p>
    <w:p w14:paraId="45678BC1" w14:textId="1453A822" w:rsidR="00213C74" w:rsidRPr="00445138" w:rsidRDefault="003E40A5" w:rsidP="00C05618">
      <w:pPr>
        <w:pStyle w:val="ICHTextOnly"/>
        <w:spacing w:after="240"/>
      </w:pPr>
      <w:r w:rsidRPr="003E40A5">
        <w:t xml:space="preserve">The quality risk management process for E&amp;L </w:t>
      </w:r>
      <w:r w:rsidR="00BE4D55">
        <w:t>warrants</w:t>
      </w:r>
      <w:r w:rsidRPr="003E40A5">
        <w:t xml:space="preserve"> a holistic strategy, leveraging prior knowledge and a thorough understanding of the desirable and critical attributes for the manufacturing/packaging components and drug product, as well as the manufacturing and storage conditions. Close collaboration between the analytical chemist(s) and safety expert(s) is essential for knowledge sharing and development of the E&amp;L quality risk management process.  A Quality Risk Management Process should be initiated with every product, each with its own Risk Assessment, Risk Control and Lifecycle Management process.</w:t>
      </w:r>
    </w:p>
    <w:p w14:paraId="07AC25C5" w14:textId="1548518A" w:rsidR="00022CC5" w:rsidRPr="001C57C8" w:rsidRDefault="00445138" w:rsidP="00BC6365">
      <w:pPr>
        <w:pStyle w:val="Heading2"/>
      </w:pPr>
      <w:bookmarkStart w:id="7" w:name="_Toc201662500"/>
      <w:r>
        <w:lastRenderedPageBreak/>
        <w:t>Risk Matrix as a Multifactorial Concept</w:t>
      </w:r>
      <w:bookmarkEnd w:id="7"/>
    </w:p>
    <w:p w14:paraId="2977D68B" w14:textId="22B45C86" w:rsidR="007C65D9" w:rsidRPr="00622D3E" w:rsidRDefault="007C65D9" w:rsidP="00BC6365">
      <w:pPr>
        <w:pStyle w:val="ICHTextOnly"/>
        <w:spacing w:after="120"/>
      </w:pPr>
      <w:r w:rsidRPr="695951DC">
        <w:t xml:space="preserve">For the </w:t>
      </w:r>
      <w:r w:rsidR="008A7A7D">
        <w:t xml:space="preserve">overall </w:t>
      </w:r>
      <w:r w:rsidR="002728AD">
        <w:t xml:space="preserve">risk </w:t>
      </w:r>
      <w:r w:rsidRPr="695951DC">
        <w:t>assessment and control of leachables, it is important to consider the multidimensional nature of risk</w:t>
      </w:r>
      <w:r w:rsidRPr="695951DC">
        <w:rPr>
          <w:rFonts w:eastAsia="Arial" w:cs="Arial"/>
        </w:rPr>
        <w:t xml:space="preserve">, entailing both pharmaceutical quality and </w:t>
      </w:r>
      <w:r w:rsidR="000402E9">
        <w:rPr>
          <w:rFonts w:eastAsia="Arial" w:cs="Arial"/>
        </w:rPr>
        <w:t xml:space="preserve">safety </w:t>
      </w:r>
      <w:r w:rsidRPr="695951DC">
        <w:rPr>
          <w:rFonts w:eastAsia="Arial" w:cs="Arial"/>
        </w:rPr>
        <w:t xml:space="preserve">aspects.  With respect to pharmaceutical quality, important </w:t>
      </w:r>
      <w:r w:rsidRPr="695951DC">
        <w:t xml:space="preserve">dimensions include: </w:t>
      </w:r>
    </w:p>
    <w:p w14:paraId="756E5AB9" w14:textId="5FA67544" w:rsidR="007C65D9" w:rsidRPr="00622D3E" w:rsidRDefault="00A52E29" w:rsidP="00BC6365">
      <w:pPr>
        <w:pStyle w:val="ICHTextOnly"/>
        <w:numPr>
          <w:ilvl w:val="0"/>
          <w:numId w:val="3"/>
        </w:numPr>
        <w:spacing w:after="120"/>
      </w:pPr>
      <w:r>
        <w:t>T</w:t>
      </w:r>
      <w:r w:rsidR="007C65D9" w:rsidRPr="695951DC">
        <w:t xml:space="preserve">he potential for interaction between manufacturing equipment or packaging component and the formulation, </w:t>
      </w:r>
    </w:p>
    <w:p w14:paraId="259B6F4F" w14:textId="3184A780" w:rsidR="007C65D9" w:rsidRPr="00622D3E" w:rsidRDefault="00A52E29" w:rsidP="00BC6365">
      <w:pPr>
        <w:pStyle w:val="ICHTextOnly"/>
        <w:numPr>
          <w:ilvl w:val="0"/>
          <w:numId w:val="3"/>
        </w:numPr>
        <w:spacing w:after="120"/>
      </w:pPr>
      <w:r>
        <w:t>T</w:t>
      </w:r>
      <w:r w:rsidR="007C65D9" w:rsidRPr="695951DC">
        <w:t xml:space="preserve">he chemical and physical properties of the equipment or component that likely contribute to leachables, and pre-treatment of components prior to use, </w:t>
      </w:r>
    </w:p>
    <w:p w14:paraId="5709E62A" w14:textId="34663474" w:rsidR="007C65D9" w:rsidRPr="00622D3E" w:rsidRDefault="00A52E29" w:rsidP="00BC6365">
      <w:pPr>
        <w:pStyle w:val="ICHTextOnly"/>
        <w:numPr>
          <w:ilvl w:val="0"/>
          <w:numId w:val="3"/>
        </w:numPr>
        <w:spacing w:after="120"/>
      </w:pPr>
      <w:r>
        <w:t>T</w:t>
      </w:r>
      <w:r w:rsidR="007C65D9" w:rsidRPr="00622D3E">
        <w:t xml:space="preserve">he manufacturing and storage conditions, including but not limited to, surface area to solution volume ratio, temperature, duration of </w:t>
      </w:r>
      <w:r w:rsidR="007C65D9" w:rsidRPr="00FE4E4F">
        <w:t xml:space="preserve">contact, </w:t>
      </w:r>
      <w:r w:rsidR="007C65D9">
        <w:t>proximity of the downstream removal steps and their capacity to deplete potential leachables.</w:t>
      </w:r>
      <w:r w:rsidR="007C65D9" w:rsidRPr="00FE4E4F">
        <w:t xml:space="preserve">   </w:t>
      </w:r>
    </w:p>
    <w:p w14:paraId="2FAD19EC" w14:textId="17735ECD" w:rsidR="00A52E29" w:rsidRPr="00C05618" w:rsidRDefault="00A52E29" w:rsidP="00C05618">
      <w:pPr>
        <w:pStyle w:val="ICHTextOnly"/>
        <w:numPr>
          <w:ilvl w:val="0"/>
          <w:numId w:val="3"/>
        </w:numPr>
        <w:spacing w:after="120"/>
        <w:rPr>
          <w:rFonts w:eastAsia="Arial"/>
        </w:rPr>
      </w:pPr>
      <w:r>
        <w:t>T</w:t>
      </w:r>
      <w:r w:rsidR="007C65D9">
        <w:t xml:space="preserve">he leaching propensity of the formulation, including but not limited to API, pH, organic co-solvents and surfactant/chelating agents. </w:t>
      </w:r>
      <w:r w:rsidR="007C65D9" w:rsidRPr="195D8BC6">
        <w:rPr>
          <w:rFonts w:eastAsia="Arial"/>
        </w:rPr>
        <w:t xml:space="preserve"> </w:t>
      </w:r>
    </w:p>
    <w:p w14:paraId="0B721117" w14:textId="42ECF628" w:rsidR="007C65D9" w:rsidRPr="00622D3E" w:rsidRDefault="00A52E29" w:rsidP="00BC6365">
      <w:pPr>
        <w:pStyle w:val="ICHTextOnly"/>
        <w:spacing w:after="240"/>
        <w:rPr>
          <w:rFonts w:eastAsia="Arial"/>
        </w:rPr>
      </w:pPr>
      <w:r>
        <w:rPr>
          <w:rFonts w:eastAsia="Arial"/>
        </w:rPr>
        <w:t xml:space="preserve">Safety assessment </w:t>
      </w:r>
      <w:r w:rsidR="007C65D9" w:rsidRPr="00C05618">
        <w:t>dimensions</w:t>
      </w:r>
      <w:r w:rsidR="007C65D9" w:rsidRPr="695951DC">
        <w:rPr>
          <w:rFonts w:eastAsia="Arial"/>
        </w:rPr>
        <w:t xml:space="preserve"> relate to the potential harms posed by leachables, inclusive of exposure-related factors such as the risk impact of the route(s) of administration, pertinent patient population(s), maximal dosing, dosing frequency and/or intervals, and maximum potential treatment duration in a lifetime. </w:t>
      </w:r>
    </w:p>
    <w:p w14:paraId="32064DD0" w14:textId="1D1B4838" w:rsidR="00BC6365" w:rsidRDefault="007C65D9" w:rsidP="00BC6365">
      <w:pPr>
        <w:pStyle w:val="ICHTextOnly"/>
        <w:spacing w:after="240"/>
        <w:rPr>
          <w:rFonts w:eastAsia="Arial" w:cs="Arial"/>
        </w:rPr>
      </w:pPr>
      <w:r>
        <w:t>The relative risk</w:t>
      </w:r>
      <w:r w:rsidR="005202A7">
        <w:t>s</w:t>
      </w:r>
      <w:r>
        <w:t xml:space="preserve"> associated with various dimensions (not all inclusive) are shown in Figure 2. </w:t>
      </w:r>
      <w:r w:rsidRPr="195D8BC6">
        <w:rPr>
          <w:rFonts w:eastAsia="Arial" w:cs="Arial"/>
        </w:rPr>
        <w:t>The overall risk of a drug product is determined by taking all those dimensions into consideration.</w:t>
      </w:r>
    </w:p>
    <w:p w14:paraId="6442DB56" w14:textId="77777777" w:rsidR="00BC6365" w:rsidRDefault="00BC6365">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eastAsia="Arial" w:hAnsi="Times New Roman" w:cs="Arial"/>
          <w:sz w:val="24"/>
          <w:szCs w:val="24"/>
        </w:rPr>
      </w:pPr>
      <w:r>
        <w:rPr>
          <w:rFonts w:eastAsia="Arial" w:cs="Arial"/>
        </w:rPr>
        <w:br w:type="page"/>
      </w:r>
    </w:p>
    <w:p w14:paraId="22DDA484" w14:textId="5895E840" w:rsidR="00660C13" w:rsidRDefault="00660C13" w:rsidP="00BC6365">
      <w:pPr>
        <w:pStyle w:val="Text"/>
        <w:jc w:val="center"/>
        <w:rPr>
          <w:b/>
          <w:bCs/>
          <w:bdr w:val="none" w:sz="0" w:space="0" w:color="auto"/>
        </w:rPr>
      </w:pPr>
      <w:r w:rsidRPr="00660C13">
        <w:rPr>
          <w:b/>
          <w:bCs/>
          <w:bdr w:val="none" w:sz="0" w:space="0" w:color="auto"/>
        </w:rPr>
        <w:lastRenderedPageBreak/>
        <w:t>Figure 2: Overview on Aspects to Consider for Risk Matrix</w:t>
      </w:r>
    </w:p>
    <w:p w14:paraId="78EFA195" w14:textId="67ABE844" w:rsidR="00CF39A5" w:rsidRPr="00CF39A5" w:rsidRDefault="00CF39A5" w:rsidP="00BC6365">
      <w:pPr>
        <w:pStyle w:val="ICHTextOnly"/>
        <w:spacing w:after="240"/>
        <w:jc w:val="center"/>
        <w:rPr>
          <w:rFonts w:cs="Century"/>
          <w:sz w:val="20"/>
          <w:szCs w:val="20"/>
        </w:rPr>
      </w:pPr>
      <w:r w:rsidRPr="00CF39A5">
        <w:rPr>
          <w:sz w:val="20"/>
          <w:szCs w:val="20"/>
        </w:rPr>
        <w:t>CSF = Cerebrospinal fluid; DP = Drug product; IM = Intramuscular; IV = Intravenous; SC = Subcutaneous</w:t>
      </w:r>
    </w:p>
    <w:p w14:paraId="746C8FA7" w14:textId="38C81129" w:rsidR="00022CC5" w:rsidRDefault="00E92743" w:rsidP="00022CC5">
      <w:pPr>
        <w:pStyle w:val="Text"/>
        <w:rPr>
          <w:bdr w:val="none" w:sz="0" w:space="0" w:color="auto"/>
        </w:rPr>
      </w:pPr>
      <w:r>
        <w:rPr>
          <w:noProof/>
          <w:bdr w:val="none" w:sz="0" w:space="0" w:color="auto"/>
        </w:rPr>
        <w:drawing>
          <wp:inline distT="0" distB="0" distL="0" distR="0" wp14:anchorId="6E4711E1" wp14:editId="204C44CB">
            <wp:extent cx="5862544" cy="3297600"/>
            <wp:effectExtent l="0" t="0" r="0" b="0"/>
            <wp:docPr id="4189406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40651" name="Graphic 418940651"/>
                    <pic:cNvPicPr/>
                  </pic:nvPicPr>
                  <pic:blipFill>
                    <a:blip r:embed="rId17">
                      <a:extLst>
                        <a:ext uri="{96DAC541-7B7A-43D3-8B79-37D633B846F1}">
                          <asvg:svgBlip xmlns:asvg="http://schemas.microsoft.com/office/drawing/2016/SVG/main" r:embed="rId18"/>
                        </a:ext>
                      </a:extLst>
                    </a:blip>
                    <a:stretch>
                      <a:fillRect/>
                    </a:stretch>
                  </pic:blipFill>
                  <pic:spPr>
                    <a:xfrm>
                      <a:off x="0" y="0"/>
                      <a:ext cx="5873061" cy="3303516"/>
                    </a:xfrm>
                    <a:prstGeom prst="rect">
                      <a:avLst/>
                    </a:prstGeom>
                  </pic:spPr>
                </pic:pic>
              </a:graphicData>
            </a:graphic>
          </wp:inline>
        </w:drawing>
      </w:r>
    </w:p>
    <w:p w14:paraId="73D81E05" w14:textId="5E4A2E66" w:rsidR="00A853A4" w:rsidRPr="00622D3E" w:rsidRDefault="00A853A4" w:rsidP="00271785">
      <w:pPr>
        <w:pStyle w:val="ICHTextOnly"/>
        <w:spacing w:after="240"/>
      </w:pPr>
      <w:r>
        <w:t xml:space="preserve">Depending on the anticipated risk and leveraging prior knowledge, various approaches can be adopted ranging from compliance with relevant food-contact safety or pharmacopeial standards/regulations to more extensive E&amp;L characterization and </w:t>
      </w:r>
      <w:r w:rsidR="000402E9">
        <w:t xml:space="preserve">safety </w:t>
      </w:r>
      <w:r w:rsidR="00473655">
        <w:t xml:space="preserve">risk </w:t>
      </w:r>
      <w:r>
        <w:t xml:space="preserve">assessment (See Appendix 1). For oral drug products, compliance with relevant regional food-contact safety regulations may be sufficient to support the safety and quality of polymeric manufacturing equipment/systems and container closure systems if adequately justified (e.g., proposed use is consistent with regional regulations for food contact use, the leaching propensity of the drug product is similar or less than those listed in a referenced regional regulation, and all specified testing results meet acceptance criteria).  For all other drug products, or for oral products that do not comply with the regulations for food contact in terms of composition, specification, and in-use limitations, extractable/leachable assessments are typically warranted. </w:t>
      </w:r>
    </w:p>
    <w:p w14:paraId="0960BE5B" w14:textId="323D97BD" w:rsidR="00A853A4" w:rsidRDefault="00A853A4" w:rsidP="00271785">
      <w:pPr>
        <w:pStyle w:val="ICHTextOnly"/>
        <w:spacing w:after="240"/>
      </w:pPr>
      <w:r w:rsidRPr="695951DC">
        <w:t>The risk matrix and factors described above highlight the complexity of the risks associated with a leachables assessment. Understanding the respective risk level of the corresponding factors is</w:t>
      </w:r>
      <w:r w:rsidR="00EA5389">
        <w:t xml:space="preserve"> </w:t>
      </w:r>
      <w:r w:rsidR="00EA5389" w:rsidRPr="695951DC">
        <w:t xml:space="preserve">part of the risk assessment process and may inform manufacturing and packaging components selection as well as the development of an overall </w:t>
      </w:r>
      <w:r w:rsidR="2260736D">
        <w:t xml:space="preserve">risk </w:t>
      </w:r>
      <w:r w:rsidR="00EA5389">
        <w:t>assessment</w:t>
      </w:r>
      <w:r w:rsidR="00EA5389" w:rsidRPr="695951DC">
        <w:t>/control strategy.</w:t>
      </w:r>
    </w:p>
    <w:p w14:paraId="7A1BB8EF" w14:textId="1B17E52F" w:rsidR="006B3E62" w:rsidRDefault="006B3E62" w:rsidP="00271785">
      <w:pPr>
        <w:pStyle w:val="Heading2"/>
        <w:spacing w:after="240"/>
      </w:pPr>
      <w:bookmarkStart w:id="8" w:name="_Toc201662501"/>
      <w:r>
        <w:lastRenderedPageBreak/>
        <w:t>Risk Assessment</w:t>
      </w:r>
      <w:bookmarkEnd w:id="8"/>
    </w:p>
    <w:p w14:paraId="030EF410" w14:textId="2936A534" w:rsidR="00565D77" w:rsidRDefault="00565D77" w:rsidP="00271785">
      <w:pPr>
        <w:pStyle w:val="ICHTextOnly"/>
        <w:spacing w:after="240"/>
      </w:pPr>
      <w:r w:rsidRPr="00622D3E">
        <w:t>Based on the descriptions of the Risk Management Process (Figure 1</w:t>
      </w:r>
      <w:r w:rsidR="000B0BB1">
        <w:t>, Section 3.1</w:t>
      </w:r>
      <w:r w:rsidRPr="00622D3E">
        <w:t>)</w:t>
      </w:r>
      <w:r>
        <w:t>,</w:t>
      </w:r>
      <w:r w:rsidRPr="00622D3E">
        <w:t xml:space="preserve"> the Multidimensional Risk Matrix (Figure 2</w:t>
      </w:r>
      <w:r w:rsidR="003A440A">
        <w:t>, Section 3.2</w:t>
      </w:r>
      <w:r w:rsidRPr="00622D3E">
        <w:t xml:space="preserve">) and </w:t>
      </w:r>
      <w:r>
        <w:t xml:space="preserve">the Typical Workflows </w:t>
      </w:r>
      <w:r w:rsidRPr="00622D3E">
        <w:rPr>
          <w:rStyle w:val="ui-provider"/>
        </w:rPr>
        <w:t>for E&amp;L risk assessment and risk control</w:t>
      </w:r>
      <w:r>
        <w:t xml:space="preserve"> (Figures </w:t>
      </w:r>
      <w:r w:rsidR="006C5DF4">
        <w:t>4</w:t>
      </w:r>
      <w:r>
        <w:t xml:space="preserve"> and </w:t>
      </w:r>
      <w:r w:rsidR="006C5DF4">
        <w:t>5</w:t>
      </w:r>
      <w:r w:rsidR="00495DFE">
        <w:t>,</w:t>
      </w:r>
      <w:r>
        <w:t xml:space="preserve"> </w:t>
      </w:r>
      <w:r w:rsidRPr="00622D3E">
        <w:t>Appendix 1</w:t>
      </w:r>
      <w:r>
        <w:t>)</w:t>
      </w:r>
      <w:r w:rsidRPr="00622D3E">
        <w:t xml:space="preserve"> risk assessment can be summarized in three basic steps: </w:t>
      </w:r>
    </w:p>
    <w:p w14:paraId="6481D52F" w14:textId="6C93894E" w:rsidR="00565D77" w:rsidRDefault="00565D77" w:rsidP="00271785">
      <w:pPr>
        <w:pStyle w:val="ICHTextOnly"/>
        <w:numPr>
          <w:ilvl w:val="0"/>
          <w:numId w:val="4"/>
        </w:numPr>
        <w:spacing w:after="240"/>
      </w:pPr>
      <w:r w:rsidRPr="695951DC">
        <w:rPr>
          <w:u w:val="single"/>
        </w:rPr>
        <w:t>Step 1</w:t>
      </w:r>
      <w:r w:rsidRPr="695951DC">
        <w:t xml:space="preserve"> - </w:t>
      </w:r>
      <w:r w:rsidRPr="695951DC">
        <w:rPr>
          <w:u w:val="single"/>
        </w:rPr>
        <w:t>Hazard Identification:</w:t>
      </w:r>
      <w:r w:rsidRPr="695951DC">
        <w:t xml:space="preserve"> Identify potential leachables that may migrate into the drug product from direct (e.g., manufacturing components/systems, container/closure systems and delivery devices components) or indirect (e.g., secondary packaging</w:t>
      </w:r>
      <w:r w:rsidR="009D31B6">
        <w:t>,</w:t>
      </w:r>
      <w:r w:rsidR="001F5166">
        <w:t xml:space="preserve"> </w:t>
      </w:r>
      <w:r w:rsidRPr="695951DC">
        <w:t>ink or adhesives on labels particularly for semi-permeable components) contact surfaces based upon prior knowledge (experience with component, prior testing, etc.) and/or extractables and leachables testing.</w:t>
      </w:r>
    </w:p>
    <w:p w14:paraId="2F369801" w14:textId="77777777" w:rsidR="00565D77" w:rsidRDefault="00565D77" w:rsidP="00271785">
      <w:pPr>
        <w:pStyle w:val="ICHTextOnly"/>
        <w:numPr>
          <w:ilvl w:val="0"/>
          <w:numId w:val="4"/>
        </w:numPr>
        <w:spacing w:after="240"/>
      </w:pPr>
      <w:r w:rsidRPr="00565D77">
        <w:rPr>
          <w:u w:val="single"/>
        </w:rPr>
        <w:t>Step 2</w:t>
      </w:r>
      <w:r w:rsidRPr="695951DC">
        <w:t xml:space="preserve"> - </w:t>
      </w:r>
      <w:r w:rsidRPr="00565D77">
        <w:rPr>
          <w:u w:val="single"/>
        </w:rPr>
        <w:t>Risk Analysis</w:t>
      </w:r>
      <w:r w:rsidRPr="695951DC">
        <w:t xml:space="preserve">: Quantitate the potential occurrence of leachables in the drug product and assess the patient exposure to leachables.  </w:t>
      </w:r>
    </w:p>
    <w:p w14:paraId="60BD3F41" w14:textId="746704F8" w:rsidR="00565D77" w:rsidRDefault="00565D77" w:rsidP="00271785">
      <w:pPr>
        <w:pStyle w:val="ICHTextOnly"/>
        <w:numPr>
          <w:ilvl w:val="0"/>
          <w:numId w:val="4"/>
        </w:numPr>
        <w:spacing w:after="240"/>
      </w:pPr>
      <w:r w:rsidRPr="00565D77">
        <w:rPr>
          <w:u w:val="single"/>
        </w:rPr>
        <w:t>Step 3</w:t>
      </w:r>
      <w:r w:rsidRPr="695951DC">
        <w:t xml:space="preserve"> – </w:t>
      </w:r>
      <w:r w:rsidRPr="00565D77">
        <w:rPr>
          <w:u w:val="single"/>
        </w:rPr>
        <w:t>Integrated Risk Evaluation</w:t>
      </w:r>
      <w:r w:rsidRPr="695951DC">
        <w:t xml:space="preserve">: Evaluate the potential risk to impact product quality, safety and efficacy to determine if the selected manufacturing components/systems and container/closure systems are considered qualified for the intended use.   </w:t>
      </w:r>
    </w:p>
    <w:p w14:paraId="25BADDF5" w14:textId="5FDB5E1A" w:rsidR="00C14E4A" w:rsidRDefault="00C14E4A" w:rsidP="00271785">
      <w:pPr>
        <w:pStyle w:val="Heading2"/>
        <w:spacing w:after="240"/>
      </w:pPr>
      <w:bookmarkStart w:id="9" w:name="_Toc201662502"/>
      <w:r>
        <w:t>Risk Control</w:t>
      </w:r>
      <w:bookmarkEnd w:id="9"/>
    </w:p>
    <w:p w14:paraId="400C26ED" w14:textId="77777777" w:rsidR="00816F25" w:rsidRPr="00622D3E" w:rsidRDefault="00816F25" w:rsidP="00271785">
      <w:pPr>
        <w:pStyle w:val="ICHTextOnly"/>
        <w:spacing w:after="240"/>
      </w:pPr>
      <w:r w:rsidRPr="695951DC">
        <w:rPr>
          <w:rFonts w:eastAsia="Arial"/>
        </w:rPr>
        <w:t xml:space="preserve">If the comprehensive risk assessment indicates risk mitigation is needed, measures may include, but are not limited to, </w:t>
      </w:r>
      <w:r w:rsidRPr="695951DC">
        <w:t>change of components/suppliers, pre-wash of components, pre-flushing of manufacturing equipment, and adding additional purification/isolation step(s). The adequacy of the mitigation measures ultimately implemented should be confirmed/verified via extractable and/or leachable studies.</w:t>
      </w:r>
    </w:p>
    <w:p w14:paraId="2D3E3408" w14:textId="4D9CA10A" w:rsidR="00816F25" w:rsidRPr="00622D3E" w:rsidRDefault="00816F25" w:rsidP="00271785">
      <w:pPr>
        <w:pStyle w:val="ICHTextOnly"/>
        <w:spacing w:after="240"/>
        <w:rPr>
          <w:rFonts w:eastAsia="Arial" w:cs="Arial"/>
        </w:rPr>
      </w:pPr>
      <w:r w:rsidRPr="695951DC">
        <w:t>Once the components are qualified for the intended use, a control strategy should be implemented. This comprises</w:t>
      </w:r>
      <w:r w:rsidR="00184746">
        <w:t>,</w:t>
      </w:r>
      <w:r w:rsidRPr="695951DC">
        <w:t xml:space="preserve"> but is not limited</w:t>
      </w:r>
      <w:r w:rsidR="00184746">
        <w:t>,</w:t>
      </w:r>
      <w:r w:rsidRPr="695951DC">
        <w:t xml:space="preserve"> to</w:t>
      </w:r>
      <w:r w:rsidRPr="695951DC">
        <w:rPr>
          <w:rFonts w:eastAsia="Arial" w:cs="Arial"/>
        </w:rPr>
        <w:t xml:space="preserve"> routine GMP practices which are imperative for component quality controls</w:t>
      </w:r>
      <w:r w:rsidR="009E69B2">
        <w:rPr>
          <w:rFonts w:eastAsia="Arial" w:cs="Arial"/>
        </w:rPr>
        <w:t xml:space="preserve">. </w:t>
      </w:r>
      <w:r w:rsidR="00295EF6">
        <w:rPr>
          <w:rFonts w:eastAsia="Arial" w:cs="Arial"/>
        </w:rPr>
        <w:t>A control strategy</w:t>
      </w:r>
      <w:r w:rsidRPr="695951DC">
        <w:rPr>
          <w:rFonts w:eastAsia="Arial" w:cs="Arial"/>
        </w:rPr>
        <w:t xml:space="preserve"> should be in place to:</w:t>
      </w:r>
    </w:p>
    <w:p w14:paraId="465ED9E4" w14:textId="77777777" w:rsidR="00816F25" w:rsidRPr="00622D3E" w:rsidRDefault="00816F25" w:rsidP="00271785">
      <w:pPr>
        <w:pStyle w:val="ICHTextOnly"/>
        <w:numPr>
          <w:ilvl w:val="0"/>
          <w:numId w:val="5"/>
        </w:numPr>
        <w:spacing w:after="240"/>
        <w:rPr>
          <w:rFonts w:eastAsia="Arial"/>
        </w:rPr>
      </w:pPr>
      <w:r w:rsidRPr="695951DC">
        <w:rPr>
          <w:rFonts w:eastAsia="Arial"/>
        </w:rPr>
        <w:t xml:space="preserve">Establish adequate acceptance quality control including acceptance criteria, analytical procedures, and sampling plan for components as appropriate. </w:t>
      </w:r>
    </w:p>
    <w:p w14:paraId="3FD9E881" w14:textId="77777777" w:rsidR="00816F25" w:rsidRPr="00622D3E" w:rsidRDefault="00816F25" w:rsidP="00271785">
      <w:pPr>
        <w:pStyle w:val="ICHTextOnly"/>
        <w:numPr>
          <w:ilvl w:val="0"/>
          <w:numId w:val="5"/>
        </w:numPr>
        <w:spacing w:after="240"/>
        <w:rPr>
          <w:rFonts w:eastAsia="Arial"/>
        </w:rPr>
      </w:pPr>
      <w:r w:rsidRPr="695951DC">
        <w:rPr>
          <w:rFonts w:eastAsia="Arial"/>
        </w:rPr>
        <w:t xml:space="preserve">Establish appropriate quality agreement with component venders including component </w:t>
      </w:r>
      <w:r w:rsidRPr="695951DC">
        <w:rPr>
          <w:rFonts w:eastAsia="Arial"/>
        </w:rPr>
        <w:lastRenderedPageBreak/>
        <w:t>lifecycle quality controls regarding any composition and/or fabrication process changes that might have impact on the extractable profiles.</w:t>
      </w:r>
    </w:p>
    <w:p w14:paraId="25B96D30" w14:textId="51079F14" w:rsidR="00816F25" w:rsidRPr="00622D3E" w:rsidRDefault="00816F25" w:rsidP="00271785">
      <w:pPr>
        <w:pStyle w:val="ICHTextOnly"/>
        <w:spacing w:after="240"/>
        <w:rPr>
          <w:rStyle w:val="ui-provider"/>
        </w:rPr>
      </w:pPr>
      <w:r w:rsidRPr="695951DC">
        <w:rPr>
          <w:rStyle w:val="ui-provider"/>
        </w:rPr>
        <w:t xml:space="preserve">See Appendix 1 for typical workflows for E&amp;L risk assessment and risk control, including component qualifications for </w:t>
      </w:r>
      <w:r w:rsidRPr="00164EBE">
        <w:rPr>
          <w:rStyle w:val="ui-provider"/>
        </w:rPr>
        <w:t xml:space="preserve">manufacturing components/systems </w:t>
      </w:r>
      <w:r w:rsidRPr="695951DC">
        <w:rPr>
          <w:rStyle w:val="ui-provider"/>
        </w:rPr>
        <w:t xml:space="preserve">(Figure </w:t>
      </w:r>
      <w:r w:rsidR="006C5DF4">
        <w:rPr>
          <w:rStyle w:val="ui-provider"/>
        </w:rPr>
        <w:t>4</w:t>
      </w:r>
      <w:r w:rsidR="00DB1345">
        <w:rPr>
          <w:rStyle w:val="ui-provider"/>
        </w:rPr>
        <w:t>, Appendix 1</w:t>
      </w:r>
      <w:r w:rsidRPr="695951DC">
        <w:rPr>
          <w:rStyle w:val="ui-provider"/>
        </w:rPr>
        <w:t xml:space="preserve">) and for packaging and delivery device components (Figure </w:t>
      </w:r>
      <w:r w:rsidR="006C5DF4">
        <w:rPr>
          <w:rStyle w:val="ui-provider"/>
        </w:rPr>
        <w:t>5</w:t>
      </w:r>
      <w:r w:rsidR="00DB1345">
        <w:rPr>
          <w:rStyle w:val="ui-provider"/>
        </w:rPr>
        <w:t>, Appendix 1</w:t>
      </w:r>
      <w:r w:rsidRPr="695951DC">
        <w:rPr>
          <w:rStyle w:val="ui-provider"/>
        </w:rPr>
        <w:t xml:space="preserve">). Typically, </w:t>
      </w:r>
      <w:r>
        <w:rPr>
          <w:rStyle w:val="ui-provider"/>
        </w:rPr>
        <w:t xml:space="preserve">extractable and </w:t>
      </w:r>
      <w:r w:rsidRPr="695951DC">
        <w:rPr>
          <w:rStyle w:val="ui-provider"/>
        </w:rPr>
        <w:t xml:space="preserve">leachable studies </w:t>
      </w:r>
      <w:r w:rsidR="00F01488">
        <w:rPr>
          <w:rStyle w:val="ui-provider"/>
        </w:rPr>
        <w:t>should be conducted</w:t>
      </w:r>
      <w:r>
        <w:rPr>
          <w:rStyle w:val="ui-provider"/>
        </w:rPr>
        <w:t xml:space="preserve"> </w:t>
      </w:r>
      <w:r w:rsidRPr="695951DC">
        <w:rPr>
          <w:rStyle w:val="ui-provider"/>
        </w:rPr>
        <w:t xml:space="preserve">for packaging and delivery device </w:t>
      </w:r>
      <w:r w:rsidR="0E2F114B" w:rsidRPr="53EFA818">
        <w:rPr>
          <w:rStyle w:val="ui-provider"/>
        </w:rPr>
        <w:t>components.</w:t>
      </w:r>
      <w:r w:rsidRPr="695951DC">
        <w:rPr>
          <w:rStyle w:val="ui-provider"/>
        </w:rPr>
        <w:t xml:space="preserve"> Under certain circumstances alternative approaches may be proposed with proper justifications.</w:t>
      </w:r>
    </w:p>
    <w:p w14:paraId="559E997C" w14:textId="5E7B33E9" w:rsidR="00816F25" w:rsidRPr="00622D3E" w:rsidRDefault="00816F25" w:rsidP="00271785">
      <w:pPr>
        <w:pStyle w:val="ICHTextOnly"/>
        <w:spacing w:after="240"/>
      </w:pPr>
      <w:r w:rsidRPr="695951DC">
        <w:t xml:space="preserve">The principles and practices used for identifying risk and developing mitigation strategies to address safety concerns associated with </w:t>
      </w:r>
      <w:r w:rsidRPr="695951DC">
        <w:rPr>
          <w:rFonts w:eastAsia="Arial" w:cs="Arial"/>
        </w:rPr>
        <w:t>packaging and delivery device components</w:t>
      </w:r>
      <w:r w:rsidRPr="695951DC">
        <w:t xml:space="preserve"> are also applicable to formulation contacting manufacturing equipment components made of polymeric materials.  </w:t>
      </w:r>
      <w:r>
        <w:t>Extractables</w:t>
      </w:r>
      <w:r w:rsidRPr="695951DC">
        <w:t xml:space="preserve"> studies should therefore be designed to represent the worst-case scenario of the manufacturing conditions (e.g., smallest scale with longest contact durations, highest temperature and pressure). It is recognized that the potential for </w:t>
      </w:r>
      <w:r w:rsidRPr="00A5250A">
        <w:t xml:space="preserve">leachables </w:t>
      </w:r>
      <w:r w:rsidRPr="695951DC">
        <w:t xml:space="preserve">in a drug product originating from the manufacturing components/systems is lower than that from the packaging and delivery components, due to relatively shorter contacting time with the formulation and larger </w:t>
      </w:r>
      <w:r w:rsidR="006727C9">
        <w:t xml:space="preserve">solution </w:t>
      </w:r>
      <w:r w:rsidRPr="695951DC">
        <w:t xml:space="preserve">volume to surface </w:t>
      </w:r>
      <w:r w:rsidR="004407B9">
        <w:t xml:space="preserve">area </w:t>
      </w:r>
      <w:r w:rsidRPr="695951DC">
        <w:t>ratio. Leachables introduced in upstream manufacturing process steps might be able to be purged through downstream steps, e.g. purification/polish, lowering the risk for leachables ending up in the final drug product. These factors should be taken into consideration for manufacturing equipment selection and qualification, as well as quality investigations.</w:t>
      </w:r>
    </w:p>
    <w:p w14:paraId="40731C17" w14:textId="395DE3C3" w:rsidR="00816F25" w:rsidRPr="00622D3E" w:rsidRDefault="00816F25" w:rsidP="00271785">
      <w:pPr>
        <w:pStyle w:val="ICHTextOnly"/>
        <w:spacing w:after="240"/>
      </w:pPr>
      <w:r>
        <w:t xml:space="preserve">For manufacturing components/systems, the leachables risk may be considered minimal and acceptable when all extractables peaks are </w:t>
      </w:r>
      <w:r w:rsidR="00A07F23">
        <w:t xml:space="preserve">at or </w:t>
      </w:r>
      <w:r>
        <w:t>below the Analytical Evaluation Threshold (AET) applicable to the drug product and no Class 1 leachables are observed (see Section 5). The analytical procedures used in extraction studies should comply with the criteria provided in Section 4.3.</w:t>
      </w:r>
    </w:p>
    <w:p w14:paraId="1B09635E" w14:textId="77777777" w:rsidR="00816F25" w:rsidRPr="00622D3E" w:rsidRDefault="00816F25" w:rsidP="00271785">
      <w:pPr>
        <w:pStyle w:val="ICHTextOnly"/>
        <w:spacing w:after="240"/>
      </w:pPr>
      <w:r w:rsidRPr="695951DC">
        <w:t xml:space="preserve">In cases where manufacturing components/systems extractables are observed in concentrations above the AET, an identification of those extractables and quantification of the concentrations may be conducted to mitigate the leachables risk as long as the quantification of extractables is performed against appropriate reference standards of the same identity as the identified extractables. However, if authentic reference standards do not exist, compounds with a similar </w:t>
      </w:r>
      <w:r w:rsidRPr="695951DC">
        <w:lastRenderedPageBreak/>
        <w:t xml:space="preserve">analytical response can be employed. If extractables concentrations quantified in this manner are below the relevant acceptable safety level (see Section 6), then the </w:t>
      </w:r>
      <w:r>
        <w:t xml:space="preserve">safety concern associated with </w:t>
      </w:r>
      <w:r w:rsidRPr="695951DC">
        <w:t xml:space="preserve">leachables risk is considered negligible. As an alternative to qualification of extractables from manufacturing equipment at concentrations above the AET, a safety assessment of leachables may be performed. </w:t>
      </w:r>
    </w:p>
    <w:p w14:paraId="5235CBCA" w14:textId="65F0E537" w:rsidR="00816F25" w:rsidRDefault="00816F25" w:rsidP="00271785">
      <w:pPr>
        <w:pStyle w:val="ICHTextOnly"/>
        <w:spacing w:after="240"/>
      </w:pPr>
      <w:r w:rsidRPr="695951DC">
        <w:t xml:space="preserve">For a packaging component/system </w:t>
      </w:r>
      <w:r>
        <w:t xml:space="preserve">an abbreviated data package may be considered when patient safety risk can be adequately mitigated by prior knowledge, (e.g. established extractable/leachable correlation, similar drug product </w:t>
      </w:r>
      <w:r w:rsidR="009048C0">
        <w:t>with similar</w:t>
      </w:r>
      <w:r>
        <w:t xml:space="preserve"> leaching propensity to approved drug product formulation), or no/few extractables </w:t>
      </w:r>
      <w:r w:rsidRPr="195D8BC6">
        <w:rPr>
          <w:rFonts w:eastAsia="Arial" w:cs="Arial"/>
        </w:rPr>
        <w:t>detected above the AET and below their applicable safety threshold (</w:t>
      </w:r>
      <w:r>
        <w:rPr>
          <w:rFonts w:eastAsia="Arial" w:cs="Arial"/>
        </w:rPr>
        <w:t>such as Class 3 leachables; See Section 6). Table A.1.2 (Appendix 1) provides examples where the overall risk is considered low, in relation to Figure 2</w:t>
      </w:r>
      <w:r w:rsidR="009C090F">
        <w:rPr>
          <w:rFonts w:eastAsia="Arial" w:cs="Arial"/>
        </w:rPr>
        <w:t xml:space="preserve"> (Section 3.2)</w:t>
      </w:r>
      <w:r>
        <w:rPr>
          <w:rFonts w:eastAsia="Arial" w:cs="Arial"/>
        </w:rPr>
        <w:t>, and an abbreviated data package may be warranted with adequate justification. When an abbreviated data package is proposed, c</w:t>
      </w:r>
      <w:r>
        <w:t xml:space="preserve">ommunications with </w:t>
      </w:r>
      <w:r w:rsidRPr="695951DC">
        <w:t xml:space="preserve">relevant regional Regulatory Agency/Health Authority </w:t>
      </w:r>
      <w:r>
        <w:t>is recommended to align on approach</w:t>
      </w:r>
      <w:r>
        <w:rPr>
          <w:rFonts w:eastAsia="Arial" w:cs="Arial"/>
        </w:rPr>
        <w:t xml:space="preserve">. </w:t>
      </w:r>
    </w:p>
    <w:p w14:paraId="5E3A8D7F" w14:textId="3E4F8C9D" w:rsidR="00565D77" w:rsidRPr="00565D77" w:rsidRDefault="00816F25" w:rsidP="00271785">
      <w:pPr>
        <w:pStyle w:val="ICHTextOnly"/>
        <w:spacing w:after="240"/>
      </w:pPr>
      <w:r w:rsidRPr="00622D3E">
        <w:t xml:space="preserve">If identified extractables are likely to chemically transform into compounds with a higher safety risk (i.e. through chemical degradation and/or interaction with formulation components to generate compounds with a higher safety risk), or if not all extractable peaks above the applicable AET can be </w:t>
      </w:r>
      <w:r>
        <w:t xml:space="preserve">adequately </w:t>
      </w:r>
      <w:r w:rsidRPr="00622D3E">
        <w:t xml:space="preserve">identified </w:t>
      </w:r>
      <w:r>
        <w:t>and/</w:t>
      </w:r>
      <w:r w:rsidRPr="00622D3E">
        <w:t>or quantified, a leachable study should be conducted to address these concerns</w:t>
      </w:r>
      <w:r>
        <w:t xml:space="preserve"> and demonstrate acceptability of the components</w:t>
      </w:r>
      <w:r w:rsidRPr="00622D3E">
        <w:t xml:space="preserve">. </w:t>
      </w:r>
    </w:p>
    <w:p w14:paraId="03CFDD1A" w14:textId="20FD1FC5" w:rsidR="00022CC5" w:rsidRPr="00801817" w:rsidRDefault="00DC775E" w:rsidP="00271785">
      <w:pPr>
        <w:pStyle w:val="Heading3"/>
        <w:spacing w:after="240"/>
      </w:pPr>
      <w:bookmarkStart w:id="10" w:name="_Toc201662503"/>
      <w:r w:rsidRPr="00801817">
        <w:t xml:space="preserve">Special </w:t>
      </w:r>
      <w:r w:rsidR="008E21B1" w:rsidRPr="00801817">
        <w:t>Considerations</w:t>
      </w:r>
      <w:bookmarkEnd w:id="10"/>
    </w:p>
    <w:p w14:paraId="770F62B1" w14:textId="4BB7C998" w:rsidR="00801817" w:rsidRDefault="00882B42" w:rsidP="00271785">
      <w:pPr>
        <w:pStyle w:val="ICHTextOnly"/>
        <w:spacing w:after="240"/>
      </w:pPr>
      <w:r>
        <w:t>When</w:t>
      </w:r>
      <w:r w:rsidR="00801817" w:rsidRPr="195D8BC6">
        <w:t xml:space="preserve"> multiple </w:t>
      </w:r>
      <w:r>
        <w:t xml:space="preserve">manufacturing </w:t>
      </w:r>
      <w:r w:rsidR="00801817" w:rsidRPr="195D8BC6">
        <w:t>components</w:t>
      </w:r>
      <w:r w:rsidR="00801817">
        <w:t>, especially those</w:t>
      </w:r>
      <w:r w:rsidR="00801817" w:rsidRPr="195D8BC6">
        <w:t xml:space="preserve"> constructed with the same or similar material</w:t>
      </w:r>
      <w:r>
        <w:t xml:space="preserve"> are used</w:t>
      </w:r>
      <w:r w:rsidR="00801817">
        <w:t>,</w:t>
      </w:r>
      <w:r w:rsidR="00801817" w:rsidRPr="195D8BC6">
        <w:t xml:space="preserve"> </w:t>
      </w:r>
      <w:r w:rsidR="00720DFD">
        <w:t xml:space="preserve">the </w:t>
      </w:r>
      <w:r w:rsidR="00801817" w:rsidRPr="195D8BC6">
        <w:t>cumulative leachables risk should be assessed</w:t>
      </w:r>
      <w:r w:rsidR="00801817">
        <w:t>.</w:t>
      </w:r>
      <w:r w:rsidR="00801817" w:rsidRPr="005B263F">
        <w:t xml:space="preserve"> </w:t>
      </w:r>
    </w:p>
    <w:p w14:paraId="145CAE0C" w14:textId="1A9BF365" w:rsidR="00E65A3B" w:rsidRDefault="00367E4A" w:rsidP="00271785">
      <w:pPr>
        <w:pStyle w:val="ICHTextOnly"/>
        <w:spacing w:after="240"/>
        <w:rPr>
          <w:rFonts w:ascii="Segoe UI" w:eastAsia="Times New Roman" w:hAnsi="Segoe UI" w:cs="Segoe UI"/>
          <w:sz w:val="18"/>
          <w:szCs w:val="18"/>
          <w:lang w:eastAsia="en-GB"/>
        </w:rPr>
      </w:pPr>
      <w:r>
        <w:t>Quality</w:t>
      </w:r>
      <w:r w:rsidR="00046DE0">
        <w:t xml:space="preserve"> </w:t>
      </w:r>
      <w:r>
        <w:t>r</w:t>
      </w:r>
      <w:r w:rsidR="00801817" w:rsidRPr="00380E4B">
        <w:t>isk</w:t>
      </w:r>
      <w:r w:rsidR="009636BA">
        <w:t xml:space="preserve"> </w:t>
      </w:r>
      <w:r w:rsidR="00801817" w:rsidRPr="00380E4B">
        <w:t xml:space="preserve">assessment and derived control strategies, when </w:t>
      </w:r>
      <w:r w:rsidR="00801817">
        <w:t>appropriate</w:t>
      </w:r>
      <w:r w:rsidR="00801817" w:rsidRPr="00380E4B">
        <w:t xml:space="preserve">, should also encompass potential leachables from a </w:t>
      </w:r>
      <w:r w:rsidR="003632DB">
        <w:t>container</w:t>
      </w:r>
      <w:r w:rsidR="00801817" w:rsidRPr="00380E4B">
        <w:t xml:space="preserve"> used to store a liquid or semi-solid drug substance</w:t>
      </w:r>
      <w:r w:rsidR="00801817">
        <w:t>.</w:t>
      </w:r>
      <w:r w:rsidR="00801817" w:rsidRPr="00497AC9">
        <w:rPr>
          <w:rFonts w:ascii="Segoe UI" w:eastAsia="Times New Roman" w:hAnsi="Segoe UI" w:cs="Segoe UI"/>
          <w:sz w:val="18"/>
          <w:szCs w:val="18"/>
          <w:lang w:eastAsia="en-GB"/>
        </w:rPr>
        <w:t xml:space="preserve"> </w:t>
      </w:r>
    </w:p>
    <w:p w14:paraId="4B2402BB" w14:textId="0B8E5537" w:rsidR="00801817" w:rsidRPr="00622D3E" w:rsidRDefault="00801817" w:rsidP="00271785">
      <w:pPr>
        <w:pStyle w:val="ICHTextOnly"/>
        <w:spacing w:after="240"/>
      </w:pPr>
      <w:r w:rsidRPr="00497AC9">
        <w:t>A</w:t>
      </w:r>
      <w:r w:rsidR="00603BEC">
        <w:t>lthough</w:t>
      </w:r>
      <w:r w:rsidRPr="00497AC9">
        <w:t xml:space="preserve"> minimal leaching occurs in the frozen state, the </w:t>
      </w:r>
      <w:r w:rsidR="00D67C5E">
        <w:t xml:space="preserve">potential </w:t>
      </w:r>
      <w:r w:rsidR="008D3A9F">
        <w:t xml:space="preserve">for </w:t>
      </w:r>
      <w:r w:rsidR="00D67C5E">
        <w:t>leaching</w:t>
      </w:r>
      <w:r w:rsidRPr="00497AC9">
        <w:t xml:space="preserve"> </w:t>
      </w:r>
      <w:r w:rsidR="00A920CC">
        <w:t xml:space="preserve">from storage </w:t>
      </w:r>
      <w:r w:rsidR="00A920CC" w:rsidRPr="00380E4B">
        <w:t>component/system</w:t>
      </w:r>
      <w:r w:rsidRPr="00497AC9">
        <w:t xml:space="preserve"> </w:t>
      </w:r>
      <w:r w:rsidR="00603BEC">
        <w:t xml:space="preserve">should </w:t>
      </w:r>
      <w:r w:rsidR="008D3A9F">
        <w:t>be evaluated</w:t>
      </w:r>
      <w:r w:rsidR="00603BEC">
        <w:t xml:space="preserve"> </w:t>
      </w:r>
      <w:r w:rsidR="0EF9FD97">
        <w:t xml:space="preserve">before </w:t>
      </w:r>
      <w:r w:rsidR="0033484D">
        <w:t>freezing</w:t>
      </w:r>
      <w:r w:rsidR="0EF9FD97">
        <w:t xml:space="preserve"> </w:t>
      </w:r>
      <w:r w:rsidR="6D70DA38">
        <w:t xml:space="preserve">and </w:t>
      </w:r>
      <w:r w:rsidR="0033484D">
        <w:t>after thawing</w:t>
      </w:r>
      <w:r w:rsidRPr="00497AC9">
        <w:t>.</w:t>
      </w:r>
    </w:p>
    <w:p w14:paraId="3F8997C0" w14:textId="712F6B44" w:rsidR="00801817" w:rsidRPr="00622D3E" w:rsidRDefault="00801817" w:rsidP="00271785">
      <w:pPr>
        <w:pStyle w:val="ICHTextOnly"/>
        <w:spacing w:after="240"/>
      </w:pPr>
      <w:r>
        <w:t xml:space="preserve">In addition, for biological and </w:t>
      </w:r>
      <w:r w:rsidR="000B6D7B">
        <w:t>biotechnology</w:t>
      </w:r>
      <w:r>
        <w:t xml:space="preserve">-derived products risk identification and mitigation may also include: </w:t>
      </w:r>
    </w:p>
    <w:p w14:paraId="1C8F7619" w14:textId="199082F5" w:rsidR="00801817" w:rsidRPr="00D921D4" w:rsidRDefault="00367E4A" w:rsidP="00271785">
      <w:pPr>
        <w:pStyle w:val="ICHTextOnly"/>
        <w:numPr>
          <w:ilvl w:val="0"/>
          <w:numId w:val="6"/>
        </w:numPr>
        <w:spacing w:after="240"/>
      </w:pPr>
      <w:r>
        <w:lastRenderedPageBreak/>
        <w:t>Evaluation</w:t>
      </w:r>
      <w:r w:rsidR="00801817">
        <w:t xml:space="preserve"> of the potential interactions between reactive leachables and formulation components that may lead to potentially adverse impact on product quality, safety, and/or efficacy. If impacts to critical quality attributes of the product by known reactive leachables are identified, potential mechanisms of chemical modification should be considered </w:t>
      </w:r>
      <w:r w:rsidR="00801817" w:rsidRPr="02776AB3">
        <w:rPr>
          <w:rFonts w:eastAsia="Arial"/>
        </w:rPr>
        <w:t>(</w:t>
      </w:r>
      <w:r w:rsidR="00801817">
        <w:rPr>
          <w:rFonts w:eastAsia="Arial"/>
        </w:rPr>
        <w:t>such as denaturation, aggr</w:t>
      </w:r>
      <w:r w:rsidR="00816ABB">
        <w:rPr>
          <w:rFonts w:eastAsia="Arial"/>
        </w:rPr>
        <w:t>e</w:t>
      </w:r>
      <w:r w:rsidR="00801817">
        <w:rPr>
          <w:rFonts w:eastAsia="Arial"/>
        </w:rPr>
        <w:t xml:space="preserve">gation or degradation). </w:t>
      </w:r>
    </w:p>
    <w:p w14:paraId="46B24C49" w14:textId="3E1E1DD9" w:rsidR="00801817" w:rsidRPr="00AF5500" w:rsidRDefault="00801817" w:rsidP="00271785">
      <w:pPr>
        <w:pStyle w:val="ICHTextOnly"/>
        <w:numPr>
          <w:ilvl w:val="0"/>
          <w:numId w:val="6"/>
        </w:numPr>
        <w:spacing w:after="240"/>
        <w:rPr>
          <w:rFonts w:ascii="Aptos" w:hAnsi="Aptos"/>
          <w:lang w:eastAsia="zh-CN"/>
        </w:rPr>
      </w:pPr>
      <w:r>
        <w:rPr>
          <w:lang w:eastAsia="zh-CN"/>
        </w:rPr>
        <w:t>For</w:t>
      </w:r>
      <w:r w:rsidRPr="00D921D4">
        <w:rPr>
          <w:lang w:eastAsia="zh-CN"/>
        </w:rPr>
        <w:t xml:space="preserve"> manufacturing of drug substance</w:t>
      </w:r>
      <w:r>
        <w:rPr>
          <w:lang w:eastAsia="zh-CN"/>
        </w:rPr>
        <w:t>,</w:t>
      </w:r>
      <w:r w:rsidRPr="00D921D4">
        <w:rPr>
          <w:lang w:eastAsia="zh-CN"/>
        </w:rPr>
        <w:t xml:space="preserve"> </w:t>
      </w:r>
      <w:r>
        <w:rPr>
          <w:lang w:eastAsia="zh-CN"/>
        </w:rPr>
        <w:t>leachables may be removed during the last purification step. Therefore, the</w:t>
      </w:r>
      <w:r w:rsidRPr="00D921D4">
        <w:rPr>
          <w:lang w:eastAsia="zh-CN"/>
        </w:rPr>
        <w:t xml:space="preserve"> </w:t>
      </w:r>
      <w:r w:rsidR="00367E4A">
        <w:rPr>
          <w:lang w:eastAsia="zh-CN"/>
        </w:rPr>
        <w:t xml:space="preserve">quality </w:t>
      </w:r>
      <w:r w:rsidRPr="00D921D4">
        <w:rPr>
          <w:lang w:eastAsia="zh-CN"/>
        </w:rPr>
        <w:t xml:space="preserve">risk assessment </w:t>
      </w:r>
      <w:r>
        <w:rPr>
          <w:lang w:eastAsia="zh-CN"/>
        </w:rPr>
        <w:t>will typically focus on subsequent manufacturing processes</w:t>
      </w:r>
      <w:r w:rsidRPr="00B73123">
        <w:rPr>
          <w:lang w:eastAsia="zh-CN"/>
        </w:rPr>
        <w:t>.</w:t>
      </w:r>
    </w:p>
    <w:p w14:paraId="2E08E62C" w14:textId="5E646B21" w:rsidR="00AF5500" w:rsidRDefault="00AF5500" w:rsidP="00271785">
      <w:pPr>
        <w:pStyle w:val="Heading2"/>
        <w:spacing w:after="240"/>
        <w:rPr>
          <w:lang w:eastAsia="zh-CN"/>
        </w:rPr>
      </w:pPr>
      <w:bookmarkStart w:id="11" w:name="_Toc201662504"/>
      <w:r>
        <w:rPr>
          <w:lang w:eastAsia="zh-CN"/>
        </w:rPr>
        <w:t>Documentation and Compliance</w:t>
      </w:r>
      <w:bookmarkEnd w:id="11"/>
    </w:p>
    <w:p w14:paraId="2CA1BFCC" w14:textId="5C6C4AF5" w:rsidR="00D11231" w:rsidRDefault="00D92836" w:rsidP="00271785">
      <w:pPr>
        <w:pStyle w:val="ICHTextOnly"/>
        <w:spacing w:after="240"/>
      </w:pPr>
      <w:r>
        <w:t>Registration</w:t>
      </w:r>
      <w:r w:rsidR="00D11231">
        <w:t xml:space="preserve"> applications should include the justification for the extractable/leachable studies conducted, the associated study reports, the safety assessment of </w:t>
      </w:r>
      <w:r w:rsidR="00DA0A4E">
        <w:t>substances above the AET</w:t>
      </w:r>
      <w:r w:rsidR="00D11231">
        <w:t xml:space="preserve"> and any requisite risk control strategy.  Extractables and leachables studies conducted to support the acceptability of manufacturing and packaging components/systems should be included in filing submissions (as described in ICH M4Q) as applicable. </w:t>
      </w:r>
      <w:r w:rsidR="00E86BD5" w:rsidRPr="00E86BD5">
        <w:t>Adequate leachable data should be provided to address safety and quality concerns</w:t>
      </w:r>
      <w:r w:rsidR="00E573DC">
        <w:t xml:space="preserve"> </w:t>
      </w:r>
      <w:r w:rsidR="00E86BD5" w:rsidRPr="00E86BD5">
        <w:t xml:space="preserve">throughout the drug product’s shelf life. </w:t>
      </w:r>
      <w:r w:rsidR="002354E3">
        <w:t>I</w:t>
      </w:r>
      <w:r w:rsidR="00E86BD5" w:rsidRPr="00E86BD5">
        <w:t xml:space="preserve">t is generally acceptable to submit leachable study results aligned with available stability data, with the provision to submit additional data post-authorization, subject to prior concurrence with the relevant regional regulatory authority. </w:t>
      </w:r>
      <w:r w:rsidR="00D11231">
        <w:t xml:space="preserve"> </w:t>
      </w:r>
      <w:r w:rsidR="00D11231" w:rsidRPr="695951DC">
        <w:t>The</w:t>
      </w:r>
      <w:r w:rsidR="00F819E2">
        <w:t xml:space="preserve"> </w:t>
      </w:r>
      <w:r w:rsidR="00367E4A">
        <w:t xml:space="preserve">quality </w:t>
      </w:r>
      <w:r w:rsidR="00D11231" w:rsidRPr="695951DC">
        <w:t>risk assessment as defined in Section 3.3 of this guidance should be conducted on single-use and multi-use manufacturing components/systems, primary packaging components and delivery device components. For semi-permeable packaging materials</w:t>
      </w:r>
      <w:r w:rsidR="00E65390">
        <w:t>,</w:t>
      </w:r>
      <w:r w:rsidR="00D11231" w:rsidRPr="695951DC">
        <w:t xml:space="preserve"> secondary packaging should also be evaluated as applicable. </w:t>
      </w:r>
    </w:p>
    <w:p w14:paraId="5447CE0C" w14:textId="0FC8CB01" w:rsidR="00D11231" w:rsidRPr="00622D3E" w:rsidRDefault="00D11231" w:rsidP="00271785">
      <w:pPr>
        <w:pStyle w:val="ICHTextOnly"/>
        <w:spacing w:after="240"/>
      </w:pPr>
      <w:r w:rsidRPr="695951DC">
        <w:t xml:space="preserve">A list of extractables and leachables studies conducted should be included along with an assessment report which will typically include </w:t>
      </w:r>
      <w:r w:rsidR="00F40905">
        <w:t xml:space="preserve">analytical </w:t>
      </w:r>
      <w:r w:rsidRPr="695951DC">
        <w:t xml:space="preserve">method and </w:t>
      </w:r>
      <w:r w:rsidR="00F40905">
        <w:t xml:space="preserve">extraction </w:t>
      </w:r>
      <w:r w:rsidRPr="695951DC">
        <w:t>condition selections along with justifications (solvents, temperature, duration, surface/volume ratio, etc.) for extractables studies and a description of the sample preparation and analytical procedures for leachables studies. In addition, the quantification procedure(s) should be described including the suitability of the procedures used for quantification (</w:t>
      </w:r>
      <w:r w:rsidRPr="695951DC">
        <w:rPr>
          <w:rFonts w:eastAsia="Calibri"/>
        </w:rPr>
        <w:t xml:space="preserve">e.g., </w:t>
      </w:r>
      <w:r w:rsidR="00D52A41">
        <w:rPr>
          <w:rFonts w:eastAsia="Calibri"/>
        </w:rPr>
        <w:t>limit of detection (</w:t>
      </w:r>
      <w:r w:rsidRPr="695951DC">
        <w:rPr>
          <w:rFonts w:eastAsia="Calibri"/>
        </w:rPr>
        <w:t>LOD</w:t>
      </w:r>
      <w:r w:rsidR="00D52A41">
        <w:rPr>
          <w:rFonts w:eastAsia="Calibri"/>
        </w:rPr>
        <w:t>)</w:t>
      </w:r>
      <w:r w:rsidRPr="695951DC">
        <w:rPr>
          <w:rFonts w:eastAsia="Calibri"/>
        </w:rPr>
        <w:t xml:space="preserve">, </w:t>
      </w:r>
      <w:r w:rsidR="00D52A41">
        <w:rPr>
          <w:rFonts w:eastAsia="Calibri"/>
        </w:rPr>
        <w:t>limit of quantification (</w:t>
      </w:r>
      <w:r w:rsidRPr="695951DC">
        <w:rPr>
          <w:rFonts w:eastAsia="Calibri"/>
        </w:rPr>
        <w:t>LOQ</w:t>
      </w:r>
      <w:r w:rsidR="00D52A41">
        <w:rPr>
          <w:rFonts w:eastAsia="Calibri"/>
        </w:rPr>
        <w:t>)</w:t>
      </w:r>
      <w:r w:rsidRPr="695951DC">
        <w:rPr>
          <w:rFonts w:eastAsia="Calibri"/>
        </w:rPr>
        <w:t>, specificity, linearity, accuracy, and repeatability)</w:t>
      </w:r>
      <w:r w:rsidRPr="695951DC">
        <w:t>. All extractables and leachables peaks above the AET</w:t>
      </w:r>
      <w:r w:rsidR="00D52A41">
        <w:t xml:space="preserve"> (</w:t>
      </w:r>
      <w:r w:rsidRPr="695951DC">
        <w:t>see Section 5) should be included in the filing submission with chemical name, structure, CAS Registry Number</w:t>
      </w:r>
      <w:r w:rsidR="00A23344">
        <w:t xml:space="preserve"> </w:t>
      </w:r>
      <w:r w:rsidRPr="695951DC">
        <w:t xml:space="preserve">(if available) and observed level. For leachables (or extractables when such testing is used for qualification), </w:t>
      </w:r>
      <w:r w:rsidRPr="695951DC">
        <w:lastRenderedPageBreak/>
        <w:t xml:space="preserve">safety </w:t>
      </w:r>
      <w:r w:rsidR="007A5623">
        <w:t>risk assessment</w:t>
      </w:r>
      <w:r w:rsidR="007A5623" w:rsidDel="00C9653A">
        <w:t xml:space="preserve"> </w:t>
      </w:r>
      <w:r w:rsidRPr="695951DC">
        <w:t>as described in Section 6 should be included.</w:t>
      </w:r>
    </w:p>
    <w:p w14:paraId="61B89380" w14:textId="48454AAF" w:rsidR="00D11231" w:rsidRDefault="00D11231" w:rsidP="00271785">
      <w:pPr>
        <w:pStyle w:val="ICHTextOnly"/>
        <w:spacing w:after="240"/>
      </w:pPr>
      <w:r>
        <w:t xml:space="preserve">In addition to the </w:t>
      </w:r>
      <w:r w:rsidR="0079429E">
        <w:t xml:space="preserve">quality </w:t>
      </w:r>
      <w:r>
        <w:t xml:space="preserve">risk assessment, a leachables to extractables correlation should be included in the registration </w:t>
      </w:r>
      <w:r w:rsidR="00710F69">
        <w:t>application</w:t>
      </w:r>
      <w:r>
        <w:t xml:space="preserve">, as appropriate (refer to </w:t>
      </w:r>
      <w:r w:rsidR="00D52A41">
        <w:t>S</w:t>
      </w:r>
      <w:r>
        <w:t>ection 4.6). Finally, the adequacy of any proposed mitigation measures (for example prewashing of the packaging and delivery components/system or pre-flushing of the manufacturing components/systems) should be demonstrated by data collected before and after implementation.</w:t>
      </w:r>
    </w:p>
    <w:p w14:paraId="023C4FD0" w14:textId="3B104854" w:rsidR="00EA1995" w:rsidRDefault="00EA1995" w:rsidP="00271785">
      <w:pPr>
        <w:pStyle w:val="Heading2"/>
        <w:spacing w:after="240"/>
      </w:pPr>
      <w:bookmarkStart w:id="12" w:name="_Toc201662505"/>
      <w:r>
        <w:t>Risk Review / Lifecyle Management</w:t>
      </w:r>
      <w:bookmarkEnd w:id="12"/>
    </w:p>
    <w:p w14:paraId="52FB1F0C" w14:textId="20786AAA" w:rsidR="00B40948" w:rsidRDefault="0E595C3F" w:rsidP="00271785">
      <w:pPr>
        <w:pStyle w:val="ICHTextOnly"/>
        <w:spacing w:after="240"/>
      </w:pPr>
      <w:r>
        <w:t>T</w:t>
      </w:r>
      <w:r w:rsidR="00B40948">
        <w:t>his section describes the types of changes that might necessitate re-evaluation of the leachable profile during the lifecycle of the drug.</w:t>
      </w:r>
      <w:r w:rsidR="0079429E">
        <w:t xml:space="preserve"> </w:t>
      </w:r>
      <w:r w:rsidR="00B40948" w:rsidRPr="695951DC">
        <w:t xml:space="preserve">The following is a non-exhaustive list of potential changes and an explanation of how these represent a potential </w:t>
      </w:r>
      <w:r w:rsidR="00D36252">
        <w:t>to</w:t>
      </w:r>
      <w:r w:rsidR="00B40948" w:rsidRPr="695951DC">
        <w:t xml:space="preserve"> impact the patient leachable exposure.  As such, these changes </w:t>
      </w:r>
      <w:r w:rsidR="003053BF">
        <w:t>should</w:t>
      </w:r>
      <w:r w:rsidR="00B40948" w:rsidRPr="695951DC">
        <w:t xml:space="preserve"> be considered and justified scientifically using new studies and/or existing information sources. </w:t>
      </w:r>
    </w:p>
    <w:p w14:paraId="7AF9A987" w14:textId="7E414789" w:rsidR="008C0DA2" w:rsidRPr="008C0DA2" w:rsidRDefault="008C0DA2" w:rsidP="00271785">
      <w:pPr>
        <w:pStyle w:val="ICHTextOnly"/>
        <w:spacing w:after="240"/>
      </w:pPr>
      <w:r w:rsidRPr="00181859">
        <w:rPr>
          <w:u w:val="single"/>
        </w:rPr>
        <w:t>New Information:</w:t>
      </w:r>
      <w:r w:rsidRPr="008C0DA2">
        <w:t xml:space="preserve"> If new data and/or information on a material pertinent to its suitability for use indicates a cause for concern and/or if new patient safety information for a leachable becomes available, an updated</w:t>
      </w:r>
      <w:r w:rsidR="005425E1">
        <w:t xml:space="preserve"> </w:t>
      </w:r>
      <w:r w:rsidRPr="008C0DA2">
        <w:t>assessment may be warranted.</w:t>
      </w:r>
    </w:p>
    <w:p w14:paraId="56E99022" w14:textId="77777777" w:rsidR="008C0DA2" w:rsidRPr="008C0DA2" w:rsidRDefault="008C0DA2" w:rsidP="00271785">
      <w:pPr>
        <w:pStyle w:val="ICHTextOnly"/>
        <w:spacing w:after="240"/>
      </w:pPr>
      <w:r w:rsidRPr="00181859">
        <w:rPr>
          <w:u w:val="single"/>
        </w:rPr>
        <w:t>Changes to a drug product formulation:</w:t>
      </w:r>
      <w:r w:rsidRPr="008C0DA2">
        <w:t xml:space="preserve"> Changes to the drug product may cause different leachables from the existing formulation contacting manufacturing components/systems and/or primary packaging and/or delivery device components.  For example, changes to excipients/surfactants composition or concentrations can affect both the composition and amount of leachables.</w:t>
      </w:r>
    </w:p>
    <w:p w14:paraId="594B5E5D" w14:textId="499FE127" w:rsidR="008C0DA2" w:rsidRPr="008C0DA2" w:rsidRDefault="008C0DA2" w:rsidP="00271785">
      <w:pPr>
        <w:pStyle w:val="ICHTextOnly"/>
        <w:spacing w:after="240"/>
      </w:pPr>
      <w:r w:rsidRPr="00181859">
        <w:rPr>
          <w:u w:val="single"/>
        </w:rPr>
        <w:t>Changes to container closure system, delivery device, or manufacturing components/systems that contact drug substance and/or drug product</w:t>
      </w:r>
      <w:r w:rsidRPr="008C0DA2">
        <w:t xml:space="preserve">: When there are known changes such as the composition, supplier, manufacturing process, geometry or pretreatment of materials contacting the drug substance (mainly </w:t>
      </w:r>
      <w:r w:rsidR="00A30287">
        <w:t xml:space="preserve">for </w:t>
      </w:r>
      <w:r w:rsidRPr="008C0DA2">
        <w:t>liquid</w:t>
      </w:r>
      <w:r w:rsidR="00A30287">
        <w:t>s</w:t>
      </w:r>
      <w:r w:rsidRPr="008C0DA2">
        <w:t xml:space="preserve"> and/or biologics) or drug product during the shelf-life of the drug, there is a potential for an altered leachable profile.  In addition, for some products there may be a potential for non-direct packaging components to contribute </w:t>
      </w:r>
      <w:r w:rsidR="00C95D22">
        <w:t>potential leachables</w:t>
      </w:r>
      <w:r w:rsidRPr="008C0DA2">
        <w:t xml:space="preserve"> to the drug product.</w:t>
      </w:r>
    </w:p>
    <w:p w14:paraId="3B6FF2D9" w14:textId="77777777" w:rsidR="008C0DA2" w:rsidRPr="008C0DA2" w:rsidRDefault="008C0DA2" w:rsidP="00271785">
      <w:pPr>
        <w:pStyle w:val="ICHTextOnly"/>
        <w:spacing w:after="240"/>
      </w:pPr>
      <w:r w:rsidRPr="00181859">
        <w:rPr>
          <w:u w:val="single"/>
        </w:rPr>
        <w:t>Changes to a manufacturing process:</w:t>
      </w:r>
      <w:r w:rsidRPr="008C0DA2">
        <w:t xml:space="preserve"> Changes to process conditions may cause different leachables or different amounts of leachables from the existing formulation contact material.  For example, change in solvent system, duration, temperature, pressure, pH, </w:t>
      </w:r>
      <w:r w:rsidRPr="008C0DA2">
        <w:lastRenderedPageBreak/>
        <w:t>cleaning/sterilization process, surface area/volume ratio, pre-operation preparation (e.g., flushing), amongst others can affect both the composition and amount of leachables.</w:t>
      </w:r>
    </w:p>
    <w:p w14:paraId="27132DB5" w14:textId="164BD918" w:rsidR="00263666" w:rsidRDefault="008C0DA2" w:rsidP="00271785">
      <w:pPr>
        <w:pStyle w:val="ICHTextOnly"/>
        <w:spacing w:after="240"/>
      </w:pPr>
      <w:r w:rsidRPr="00181859">
        <w:rPr>
          <w:u w:val="single"/>
        </w:rPr>
        <w:t>Changes that might affect patient exposure:</w:t>
      </w:r>
      <w:r w:rsidRPr="008C0DA2">
        <w:t xml:space="preserve"> Changes such as the posology of the drug, duration of treatment, route of administration and patient population (i.e., geriatric/</w:t>
      </w:r>
      <w:proofErr w:type="spellStart"/>
      <w:r w:rsidRPr="008C0DA2">
        <w:t>pediatric</w:t>
      </w:r>
      <w:proofErr w:type="spellEnd"/>
      <w:r w:rsidRPr="008C0DA2">
        <w:t xml:space="preserve">) have the potential </w:t>
      </w:r>
      <w:r w:rsidR="007D1CEC">
        <w:t>to</w:t>
      </w:r>
      <w:r w:rsidR="007D1CEC" w:rsidRPr="008C0DA2">
        <w:t xml:space="preserve"> </w:t>
      </w:r>
      <w:r w:rsidRPr="008C0DA2">
        <w:t>chang</w:t>
      </w:r>
      <w:r w:rsidR="007D1CEC">
        <w:t>e</w:t>
      </w:r>
      <w:r w:rsidRPr="008C0DA2">
        <w:t xml:space="preserve"> </w:t>
      </w:r>
      <w:r w:rsidR="007D1CEC" w:rsidRPr="008C0DA2">
        <w:t xml:space="preserve">estimates </w:t>
      </w:r>
      <w:r w:rsidR="007D1CEC">
        <w:t>of</w:t>
      </w:r>
      <w:r w:rsidRPr="008C0DA2">
        <w:t xml:space="preserve"> patient exposure to previously identified leachables, which may all affect the fundamental assumptions made in the exposure assessment and </w:t>
      </w:r>
      <w:r w:rsidRPr="008C0DA2" w:rsidDel="005C6DCB">
        <w:t>toxicological risk</w:t>
      </w:r>
      <w:r w:rsidRPr="008C0DA2">
        <w:t xml:space="preserve"> assessment of leachables.  </w:t>
      </w:r>
    </w:p>
    <w:p w14:paraId="0304B2F4" w14:textId="1900EA8F" w:rsidR="00AF5500" w:rsidRPr="00AF5500" w:rsidRDefault="00263666" w:rsidP="00271785">
      <w:pPr>
        <w:pStyle w:val="ICHTextOnly"/>
        <w:spacing w:after="240"/>
      </w:pPr>
      <w:r w:rsidRPr="0065072E">
        <w:rPr>
          <w:u w:val="single"/>
        </w:rPr>
        <w:t>Changes</w:t>
      </w:r>
      <w:r w:rsidR="002F223C" w:rsidRPr="0065072E">
        <w:rPr>
          <w:u w:val="single"/>
        </w:rPr>
        <w:t xml:space="preserve"> in indication</w:t>
      </w:r>
      <w:r w:rsidRPr="0065072E">
        <w:rPr>
          <w:u w:val="single"/>
        </w:rPr>
        <w:t xml:space="preserve"> that might affect patient </w:t>
      </w:r>
      <w:proofErr w:type="spellStart"/>
      <w:proofErr w:type="gramStart"/>
      <w:r w:rsidRPr="0065072E">
        <w:rPr>
          <w:u w:val="single"/>
        </w:rPr>
        <w:t>benefit:risk</w:t>
      </w:r>
      <w:proofErr w:type="spellEnd"/>
      <w:proofErr w:type="gramEnd"/>
      <w:r w:rsidRPr="008F737D">
        <w:t>:</w:t>
      </w:r>
      <w:r>
        <w:t xml:space="preserve"> </w:t>
      </w:r>
      <w:r w:rsidR="00CB053C">
        <w:t>e.g</w:t>
      </w:r>
      <w:r w:rsidR="00B64A94">
        <w:t xml:space="preserve">. </w:t>
      </w:r>
      <w:r w:rsidR="003B5B07">
        <w:t xml:space="preserve">oncology </w:t>
      </w:r>
      <w:r w:rsidR="006E561A">
        <w:t>to rheumatological disorders.</w:t>
      </w:r>
      <w:r w:rsidR="00260FB5">
        <w:t xml:space="preserve"> </w:t>
      </w:r>
    </w:p>
    <w:p w14:paraId="20A57185" w14:textId="19F55F52" w:rsidR="00022CC5" w:rsidRPr="001C57C8" w:rsidRDefault="006148C1" w:rsidP="00271785">
      <w:pPr>
        <w:pStyle w:val="Heading1"/>
        <w:spacing w:after="240"/>
      </w:pPr>
      <w:bookmarkStart w:id="13" w:name="_Toc201662506"/>
      <w:r>
        <w:t>CHEMICAL TESTING AND ASSESSMENT</w:t>
      </w:r>
      <w:bookmarkEnd w:id="13"/>
    </w:p>
    <w:p w14:paraId="0600BFA8" w14:textId="4DEAA2A2" w:rsidR="00022CC5" w:rsidRPr="001C57C8" w:rsidRDefault="006148C1" w:rsidP="00271785">
      <w:pPr>
        <w:pStyle w:val="Heading2"/>
        <w:spacing w:after="240"/>
      </w:pPr>
      <w:bookmarkStart w:id="14" w:name="_Toc201662507"/>
      <w:r>
        <w:t>Prior Knowledge</w:t>
      </w:r>
      <w:bookmarkEnd w:id="14"/>
    </w:p>
    <w:p w14:paraId="2544F0F2" w14:textId="77777777" w:rsidR="00A102AF" w:rsidRPr="00622D3E" w:rsidRDefault="00A102AF" w:rsidP="00271785">
      <w:pPr>
        <w:pStyle w:val="ICHTextOnly"/>
        <w:spacing w:after="240"/>
      </w:pPr>
      <w:r>
        <w:t>Prior knowledge may comprise information useful to obtain before performing chemical testing, including information available from a supplier and any relevant information with regard to other drug products and processes.  This information may include:</w:t>
      </w:r>
    </w:p>
    <w:p w14:paraId="60DC43DC" w14:textId="77777777" w:rsidR="00A102AF" w:rsidRPr="00622D3E" w:rsidRDefault="00A102AF" w:rsidP="00271785">
      <w:pPr>
        <w:pStyle w:val="ICHTextOnly"/>
        <w:numPr>
          <w:ilvl w:val="0"/>
          <w:numId w:val="7"/>
        </w:numPr>
        <w:spacing w:after="240"/>
      </w:pPr>
      <w:r w:rsidRPr="00622D3E">
        <w:t>composition (e.g., base polymer and copolymer, any known additives such as plasticizers, processing aids, catalysts, antioxidants)</w:t>
      </w:r>
    </w:p>
    <w:p w14:paraId="7D2447DA" w14:textId="77777777" w:rsidR="00A102AF" w:rsidRPr="00622D3E" w:rsidRDefault="00A102AF" w:rsidP="00271785">
      <w:pPr>
        <w:pStyle w:val="ICHTextOnly"/>
        <w:numPr>
          <w:ilvl w:val="0"/>
          <w:numId w:val="7"/>
        </w:numPr>
        <w:spacing w:after="240"/>
      </w:pPr>
      <w:r w:rsidRPr="00622D3E">
        <w:t>food contact compliance</w:t>
      </w:r>
    </w:p>
    <w:p w14:paraId="73E57CD7" w14:textId="77777777" w:rsidR="00A102AF" w:rsidRPr="00622D3E" w:rsidRDefault="00A102AF" w:rsidP="00271785">
      <w:pPr>
        <w:pStyle w:val="ICHTextOnly"/>
        <w:numPr>
          <w:ilvl w:val="0"/>
          <w:numId w:val="7"/>
        </w:numPr>
        <w:spacing w:after="240"/>
      </w:pPr>
      <w:r w:rsidRPr="695951DC">
        <w:t>statements indicating particular (e.g., non-authorized) compounds have not been intentionally added</w:t>
      </w:r>
    </w:p>
    <w:p w14:paraId="45F32DAE" w14:textId="77777777" w:rsidR="00A102AF" w:rsidRPr="00622D3E" w:rsidRDefault="00A102AF" w:rsidP="00271785">
      <w:pPr>
        <w:pStyle w:val="ICHTextOnly"/>
        <w:numPr>
          <w:ilvl w:val="0"/>
          <w:numId w:val="7"/>
        </w:numPr>
      </w:pPr>
      <w:r w:rsidRPr="00622D3E">
        <w:t>compendial testing</w:t>
      </w:r>
    </w:p>
    <w:p w14:paraId="1D2C4381" w14:textId="77777777" w:rsidR="00A102AF" w:rsidRPr="00622D3E" w:rsidRDefault="00A102AF" w:rsidP="00271785">
      <w:pPr>
        <w:pStyle w:val="ICHTextOnly"/>
        <w:numPr>
          <w:ilvl w:val="0"/>
          <w:numId w:val="7"/>
        </w:numPr>
      </w:pPr>
      <w:r w:rsidRPr="00622D3E">
        <w:t>any available extractables studies</w:t>
      </w:r>
    </w:p>
    <w:p w14:paraId="462676CB" w14:textId="77777777" w:rsidR="00A102AF" w:rsidRPr="00622D3E" w:rsidRDefault="00A102AF" w:rsidP="00271785">
      <w:pPr>
        <w:pStyle w:val="ICHTextOnly"/>
        <w:numPr>
          <w:ilvl w:val="0"/>
          <w:numId w:val="7"/>
        </w:numPr>
      </w:pPr>
      <w:r w:rsidRPr="00622D3E">
        <w:t>biological reactivity testing</w:t>
      </w:r>
    </w:p>
    <w:p w14:paraId="4CA815CC" w14:textId="77777777" w:rsidR="00A102AF" w:rsidRPr="00622D3E" w:rsidRDefault="00A102AF" w:rsidP="00271785">
      <w:pPr>
        <w:pStyle w:val="ICHTextOnly"/>
        <w:numPr>
          <w:ilvl w:val="0"/>
          <w:numId w:val="7"/>
        </w:numPr>
      </w:pPr>
      <w:r w:rsidRPr="00622D3E">
        <w:t>processing or pretreatment steps (e.g., sterilization, cleaning, flushing, siliconization, surface treatments)</w:t>
      </w:r>
    </w:p>
    <w:p w14:paraId="67591AF5" w14:textId="77777777" w:rsidR="00A102AF" w:rsidRPr="00622D3E" w:rsidRDefault="00A102AF" w:rsidP="00271785">
      <w:pPr>
        <w:pStyle w:val="ICHTextOnly"/>
        <w:numPr>
          <w:ilvl w:val="0"/>
          <w:numId w:val="7"/>
        </w:numPr>
      </w:pPr>
      <w:r w:rsidRPr="00622D3E">
        <w:t>prior use history, including any historical use with other similar drug products, process and/or contact conditions</w:t>
      </w:r>
    </w:p>
    <w:p w14:paraId="6735A8E3" w14:textId="49A6A009" w:rsidR="00022CC5" w:rsidRDefault="00F336CD" w:rsidP="00581819">
      <w:pPr>
        <w:pStyle w:val="Heading2"/>
      </w:pPr>
      <w:bookmarkStart w:id="15" w:name="_Toc201662508"/>
      <w:r>
        <w:t>Component Selection</w:t>
      </w:r>
      <w:bookmarkEnd w:id="15"/>
    </w:p>
    <w:p w14:paraId="2B3D500C" w14:textId="55A2DF50" w:rsidR="00513173" w:rsidRPr="00622D3E" w:rsidRDefault="00513173" w:rsidP="00581819">
      <w:pPr>
        <w:pStyle w:val="ICHTextOnly"/>
        <w:spacing w:after="120"/>
      </w:pPr>
      <w:r>
        <w:t xml:space="preserve">A pharmaceutical product manufacturer is responsible for establishing requirements in </w:t>
      </w:r>
      <w:r>
        <w:lastRenderedPageBreak/>
        <w:t xml:space="preserve">alignment with regulatory expectations for the manufacturing, packaging, storage, and delivery of a unique drug product safely and effectively to an intended patient population. The level of risk for a particular material or component is relevant to the potential for interaction with the dosage form. For example, components that interact with dosage forms exhibiting a greater propensity for leaching (e.g., liquids) may be considered of higher risk than components that interact with dosage forms which exhibit a minimal propensity for leaching (e.g., non-lyophilized solids). The information obtained from the supplier (e.g., extractables report, compliance with compendial requirements) may be supplemented with additional testing appropriate for conducting a </w:t>
      </w:r>
      <w:r w:rsidDel="005C6DCB">
        <w:t xml:space="preserve">risk </w:t>
      </w:r>
      <w:r>
        <w:t>assessment and developing extractables/leachables procedures to demonstrate acceptable component selection. See Table A.2.1 (in Appendix 2) for a summary of extractable, leachable and simulated leachable studies.</w:t>
      </w:r>
    </w:p>
    <w:p w14:paraId="5B12D319" w14:textId="4C8A86F5" w:rsidR="00513173" w:rsidRDefault="00513173" w:rsidP="00581819">
      <w:pPr>
        <w:pStyle w:val="Heading2"/>
      </w:pPr>
      <w:bookmarkStart w:id="16" w:name="_Toc201662509"/>
      <w:r>
        <w:t>Extractable Study</w:t>
      </w:r>
      <w:bookmarkEnd w:id="16"/>
    </w:p>
    <w:p w14:paraId="271440B3" w14:textId="41E7B9E7" w:rsidR="007962C0" w:rsidRPr="00622D3E" w:rsidRDefault="007962C0" w:rsidP="00581819">
      <w:pPr>
        <w:pStyle w:val="ICHTextOnly"/>
      </w:pPr>
      <w:r w:rsidRPr="695951DC">
        <w:t xml:space="preserve">An extractable study is a process by which chemical entities are extracted from a test article.  An adequate extractables study incorporates solvents and extraction conditions relevant to the anticipated </w:t>
      </w:r>
      <w:r>
        <w:t>leaching</w:t>
      </w:r>
      <w:r w:rsidRPr="695951DC">
        <w:t xml:space="preserve"> propensity of the drug product formulation under the </w:t>
      </w:r>
      <w:r w:rsidR="00581819" w:rsidRPr="695951DC">
        <w:t>worst-case</w:t>
      </w:r>
      <w:r w:rsidRPr="695951DC">
        <w:t xml:space="preserve"> scenario of manufacturing or storage conditions and employs multiple complementary analytical techniques to establish a comprehensive extractables profile. Key characteristics of an adequate extraction study include:</w:t>
      </w:r>
    </w:p>
    <w:p w14:paraId="4F02C9CD" w14:textId="50A9FC30" w:rsidR="007962C0" w:rsidRPr="00622D3E" w:rsidRDefault="007962C0" w:rsidP="00581819">
      <w:pPr>
        <w:pStyle w:val="ICHTextOnly"/>
        <w:numPr>
          <w:ilvl w:val="0"/>
          <w:numId w:val="8"/>
        </w:numPr>
        <w:spacing w:after="240"/>
      </w:pPr>
      <w:r w:rsidRPr="695951DC">
        <w:t>Establishment and application of a drug product</w:t>
      </w:r>
      <w:r w:rsidR="00581819">
        <w:t>-</w:t>
      </w:r>
      <w:r w:rsidRPr="695951DC">
        <w:t xml:space="preserve">specific AET to indicate extractable chemical entities to be identified and treated as potential leachables. Testing is performed on components or an assembled system including any processing and treatment (e.g., sterilization, </w:t>
      </w:r>
      <w:proofErr w:type="spellStart"/>
      <w:r w:rsidRPr="695951DC">
        <w:t>molding</w:t>
      </w:r>
      <w:proofErr w:type="spellEnd"/>
      <w:r w:rsidRPr="695951DC">
        <w:t xml:space="preserve"> and fabrication conditions, cleaning, siliconization) that would be representative of the final, finished component or system as intended for use</w:t>
      </w:r>
    </w:p>
    <w:p w14:paraId="39048ED8" w14:textId="5ED139B7" w:rsidR="007962C0" w:rsidRPr="00622D3E" w:rsidRDefault="007962C0" w:rsidP="00581819">
      <w:pPr>
        <w:pStyle w:val="ICHTextOnly"/>
        <w:numPr>
          <w:ilvl w:val="0"/>
          <w:numId w:val="8"/>
        </w:numPr>
        <w:spacing w:after="240"/>
      </w:pPr>
      <w:r w:rsidRPr="695951DC">
        <w:t>Proper extraction media selection, including appropriate solvents of varying pH and polarity relevant to and representative of the drug product formulation (e.g. excipients, surfactants)</w:t>
      </w:r>
    </w:p>
    <w:p w14:paraId="7EE8D858" w14:textId="176CCB2A" w:rsidR="007962C0" w:rsidRPr="00622D3E" w:rsidRDefault="007962C0" w:rsidP="00581819">
      <w:pPr>
        <w:pStyle w:val="ICHTextOnly"/>
        <w:numPr>
          <w:ilvl w:val="0"/>
          <w:numId w:val="8"/>
        </w:numPr>
        <w:spacing w:after="240"/>
      </w:pPr>
      <w:r>
        <w:t xml:space="preserve">Represents the drug product specific worst-case scenario for leachables </w:t>
      </w:r>
      <w:r w:rsidR="006215D5">
        <w:t>occurring</w:t>
      </w:r>
      <w:r>
        <w:t xml:space="preserve"> during manufacturing or </w:t>
      </w:r>
      <w:r w:rsidR="006215D5">
        <w:t xml:space="preserve">arising from </w:t>
      </w:r>
      <w:r>
        <w:t>packaging components/systems during shelf life (e.g., contact area, temperature, duration)</w:t>
      </w:r>
    </w:p>
    <w:p w14:paraId="45C0AD0B" w14:textId="2819EA66" w:rsidR="007962C0" w:rsidRDefault="007962C0" w:rsidP="00581819">
      <w:pPr>
        <w:pStyle w:val="ICHTextOnly"/>
        <w:numPr>
          <w:ilvl w:val="0"/>
          <w:numId w:val="8"/>
        </w:numPr>
        <w:spacing w:after="240"/>
        <w:rPr>
          <w:rFonts w:eastAsia="Arial" w:cs="Arial"/>
        </w:rPr>
      </w:pPr>
      <w:r>
        <w:t xml:space="preserve">The analytical procedures used are adequately qualified </w:t>
      </w:r>
      <w:r w:rsidRPr="195D8BC6">
        <w:rPr>
          <w:rFonts w:eastAsia="Arial" w:cs="Arial"/>
        </w:rPr>
        <w:t xml:space="preserve">at a level commensurate with </w:t>
      </w:r>
      <w:r w:rsidRPr="195D8BC6">
        <w:rPr>
          <w:rFonts w:eastAsia="Arial" w:cs="Arial"/>
        </w:rPr>
        <w:lastRenderedPageBreak/>
        <w:t>the purpose of the extraction study</w:t>
      </w:r>
    </w:p>
    <w:p w14:paraId="0BBB4941" w14:textId="003BBA61" w:rsidR="007962C0" w:rsidRPr="00622D3E" w:rsidRDefault="007962C0" w:rsidP="00581819">
      <w:pPr>
        <w:pStyle w:val="ICHTextOnly"/>
        <w:numPr>
          <w:ilvl w:val="0"/>
          <w:numId w:val="8"/>
        </w:numPr>
        <w:spacing w:after="240"/>
      </w:pPr>
      <w:r w:rsidRPr="695951DC">
        <w:t>Includes appropriate analytical procedures for volatile, semi-volatile, and non-volatile organic extractables and elemental extractables</w:t>
      </w:r>
    </w:p>
    <w:p w14:paraId="38F741A4" w14:textId="1B27E28E" w:rsidR="007962C0" w:rsidRPr="00622D3E" w:rsidRDefault="007962C0" w:rsidP="00581819">
      <w:pPr>
        <w:pStyle w:val="ICHTextOnly"/>
        <w:numPr>
          <w:ilvl w:val="0"/>
          <w:numId w:val="8"/>
        </w:numPr>
        <w:spacing w:after="240"/>
      </w:pPr>
      <w:r w:rsidRPr="695951DC">
        <w:t>The extractables report describes details on analytical procedures</w:t>
      </w:r>
    </w:p>
    <w:p w14:paraId="19BD720D" w14:textId="382901AA" w:rsidR="00513173" w:rsidRPr="00513173" w:rsidRDefault="007962C0" w:rsidP="00581819">
      <w:pPr>
        <w:pStyle w:val="ICHTextOnly"/>
        <w:spacing w:after="240"/>
      </w:pPr>
      <w:r w:rsidRPr="695951DC">
        <w:t xml:space="preserve">Specific targeted tests for potential Class 1 leachables (see Section 6.2 Leachables Classification) </w:t>
      </w:r>
      <w:r w:rsidR="00F61496">
        <w:t xml:space="preserve">should be </w:t>
      </w:r>
      <w:r w:rsidR="00030926">
        <w:t xml:space="preserve">performed </w:t>
      </w:r>
      <w:r w:rsidRPr="695951DC">
        <w:t xml:space="preserve">based on the understanding of the material of construction and </w:t>
      </w:r>
      <w:r w:rsidR="00043985">
        <w:t>quality</w:t>
      </w:r>
      <w:r w:rsidR="004632C6">
        <w:t>;</w:t>
      </w:r>
      <w:r w:rsidR="007D518D">
        <w:t xml:space="preserve"> </w:t>
      </w:r>
      <w:r w:rsidRPr="695951DC">
        <w:t>risk analysis should be performed as appropriate. Analysis of potential Class 1 leachables should follow the description of a quantitative extractables study (</w:t>
      </w:r>
      <w:r>
        <w:t>S</w:t>
      </w:r>
      <w:r w:rsidRPr="695951DC">
        <w:t>ection 4.3.2) or leachables study (</w:t>
      </w:r>
      <w:r>
        <w:t>S</w:t>
      </w:r>
      <w:r w:rsidRPr="695951DC">
        <w:t>ection 4.4).</w:t>
      </w:r>
    </w:p>
    <w:p w14:paraId="109CECD3" w14:textId="0A2F591C" w:rsidR="00022CC5" w:rsidRPr="003F694C" w:rsidRDefault="009F115E" w:rsidP="00581819">
      <w:pPr>
        <w:pStyle w:val="Heading3"/>
        <w:spacing w:after="240"/>
      </w:pPr>
      <w:bookmarkStart w:id="17" w:name="_Toc201662510"/>
      <w:r w:rsidRPr="003F694C">
        <w:t>Semi-Quantitative Extractables Study</w:t>
      </w:r>
      <w:bookmarkEnd w:id="17"/>
    </w:p>
    <w:p w14:paraId="5AD73A1E" w14:textId="613C12AE" w:rsidR="00AD6DC3" w:rsidRPr="00622D3E" w:rsidRDefault="00AD6DC3" w:rsidP="00581819">
      <w:pPr>
        <w:pStyle w:val="ICHTextOnly"/>
        <w:spacing w:after="240"/>
      </w:pPr>
      <w:r w:rsidRPr="695951DC">
        <w:t xml:space="preserve">A semi-quantitative extractables study may be </w:t>
      </w:r>
      <w:r w:rsidR="003548E6">
        <w:t>appropriate</w:t>
      </w:r>
      <w:r w:rsidRPr="695951DC">
        <w:t xml:space="preserve"> in scenarios where a leachables study will subsequently be conducted to establish the acceptability of materials for intended use. The purpose of a semi-quantitative extractables study is to understand which extractables can be present as leachables in the drug product. Key</w:t>
      </w:r>
      <w:r w:rsidRPr="695951DC" w:rsidDel="00196734">
        <w:t xml:space="preserve"> </w:t>
      </w:r>
      <w:r w:rsidR="007331BD">
        <w:t>characteristics</w:t>
      </w:r>
      <w:r w:rsidRPr="695951DC">
        <w:t xml:space="preserve"> of the semi-quantitative extractables study include:</w:t>
      </w:r>
    </w:p>
    <w:p w14:paraId="0DDD7B00" w14:textId="77777777" w:rsidR="00AD6DC3" w:rsidRPr="00622D3E" w:rsidRDefault="00AD6DC3" w:rsidP="00581819">
      <w:pPr>
        <w:pStyle w:val="ICHTextOnly"/>
        <w:numPr>
          <w:ilvl w:val="0"/>
          <w:numId w:val="9"/>
        </w:numPr>
        <w:spacing w:after="240"/>
      </w:pPr>
      <w:r w:rsidRPr="695951DC">
        <w:t>Analytical procedures that are qualified using several relevant standard compounds typically observed as extractables or leachables.</w:t>
      </w:r>
    </w:p>
    <w:p w14:paraId="04C46A46" w14:textId="7620F443" w:rsidR="00AD6DC3" w:rsidRPr="00622D3E" w:rsidRDefault="00AD6DC3" w:rsidP="00581819">
      <w:pPr>
        <w:pStyle w:val="ICHTextOnly"/>
        <w:numPr>
          <w:ilvl w:val="0"/>
          <w:numId w:val="9"/>
        </w:numPr>
        <w:spacing w:after="240"/>
      </w:pPr>
      <w:r w:rsidRPr="00622D3E">
        <w:t>Use of analytical uncertainty factor (UF</w:t>
      </w:r>
      <w:r w:rsidR="002B04B2">
        <w:t xml:space="preserve">; </w:t>
      </w:r>
      <w:r w:rsidR="002E7CFF">
        <w:t>S</w:t>
      </w:r>
      <w:r w:rsidR="0003765C">
        <w:t>ection 5.1</w:t>
      </w:r>
      <w:r w:rsidRPr="00622D3E">
        <w:t>) in the calculation of the drug product</w:t>
      </w:r>
      <w:r w:rsidR="007331BD">
        <w:t>-</w:t>
      </w:r>
      <w:r w:rsidRPr="00622D3E">
        <w:t>specific AET</w:t>
      </w:r>
      <w:r>
        <w:t>.</w:t>
      </w:r>
    </w:p>
    <w:p w14:paraId="385AF54B" w14:textId="74DBF2EC" w:rsidR="00AD6DC3" w:rsidRPr="00622D3E" w:rsidRDefault="00AD6DC3" w:rsidP="003F1AAC">
      <w:pPr>
        <w:pStyle w:val="ICHTextOnly"/>
        <w:numPr>
          <w:ilvl w:val="0"/>
          <w:numId w:val="9"/>
        </w:numPr>
        <w:spacing w:after="240"/>
      </w:pPr>
      <w:r w:rsidRPr="00622D3E">
        <w:t>Quantification of observed extractables against relevant standard compounds</w:t>
      </w:r>
      <w:r>
        <w:t>.</w:t>
      </w:r>
    </w:p>
    <w:p w14:paraId="6F3624C1" w14:textId="28E6FC75" w:rsidR="00022CC5" w:rsidRPr="00692F9C" w:rsidRDefault="00AD6DC3" w:rsidP="00581819">
      <w:pPr>
        <w:pStyle w:val="ICHTextOnly"/>
        <w:spacing w:after="240"/>
      </w:pPr>
      <w:r w:rsidRPr="695951DC">
        <w:t xml:space="preserve">Semi-quantitative extractables observed above the AET can subsequently be used as targets for </w:t>
      </w:r>
      <w:r w:rsidR="0F1489C3">
        <w:t xml:space="preserve">a quantitative extractables study or </w:t>
      </w:r>
      <w:r>
        <w:t>a</w:t>
      </w:r>
      <w:r w:rsidRPr="695951DC">
        <w:t xml:space="preserve"> leachables study.</w:t>
      </w:r>
    </w:p>
    <w:p w14:paraId="0B2CF29B" w14:textId="08E637B2" w:rsidR="00022CC5" w:rsidRPr="001C57C8" w:rsidRDefault="003F694C" w:rsidP="00581819">
      <w:pPr>
        <w:pStyle w:val="Heading3"/>
        <w:spacing w:after="240"/>
      </w:pPr>
      <w:bookmarkStart w:id="18" w:name="_Toc201662511"/>
      <w:r>
        <w:t>Quantitative Extractables Study</w:t>
      </w:r>
      <w:bookmarkEnd w:id="18"/>
    </w:p>
    <w:p w14:paraId="3675B9FA" w14:textId="5359C1E1" w:rsidR="005731FA" w:rsidRPr="00622D3E" w:rsidRDefault="005731FA" w:rsidP="00581819">
      <w:pPr>
        <w:pStyle w:val="ICHTextOnly"/>
        <w:spacing w:after="240"/>
      </w:pPr>
      <w:r w:rsidRPr="695951DC">
        <w:t xml:space="preserve"> </w:t>
      </w:r>
      <w:r w:rsidR="630AC851">
        <w:t xml:space="preserve">To </w:t>
      </w:r>
      <w:r>
        <w:t>support</w:t>
      </w:r>
      <w:r w:rsidRPr="695951DC">
        <w:t xml:space="preserve"> qualification of manufacturing components/systems and certain low-risk packaging components/systems scenarios (Refer to Appendix 1 Table A.1.1 and A.1.2, respectively</w:t>
      </w:r>
      <w:r>
        <w:t>)</w:t>
      </w:r>
      <w:r w:rsidR="10090803">
        <w:t xml:space="preserve"> for which extractables were observed at a level above the AET during the semi-quantitative extractables study, a quantitative extractables study to quantify these specific extractables would be warranted</w:t>
      </w:r>
      <w:r>
        <w:t>.</w:t>
      </w:r>
      <w:r w:rsidRPr="695951DC">
        <w:t xml:space="preserve">   Key </w:t>
      </w:r>
      <w:r w:rsidR="007331BD">
        <w:t>characteristics</w:t>
      </w:r>
      <w:r w:rsidR="007D128C" w:rsidRPr="695951DC">
        <w:t xml:space="preserve"> </w:t>
      </w:r>
      <w:r w:rsidRPr="695951DC">
        <w:t>of quantitative extractables study include:</w:t>
      </w:r>
    </w:p>
    <w:p w14:paraId="4E10E4BB" w14:textId="2E6B195A" w:rsidR="005731FA" w:rsidRPr="00622D3E" w:rsidRDefault="005731FA" w:rsidP="00581819">
      <w:pPr>
        <w:pStyle w:val="ICHTextOnly"/>
        <w:numPr>
          <w:ilvl w:val="0"/>
          <w:numId w:val="10"/>
        </w:numPr>
        <w:spacing w:after="240"/>
      </w:pPr>
      <w:r w:rsidRPr="695951DC">
        <w:lastRenderedPageBreak/>
        <w:t>Confirmed identification of extractables above the AET.</w:t>
      </w:r>
    </w:p>
    <w:p w14:paraId="7923B139" w14:textId="77777777" w:rsidR="005731FA" w:rsidRPr="00622D3E" w:rsidRDefault="005731FA" w:rsidP="00581819">
      <w:pPr>
        <w:pStyle w:val="ICHTextOnly"/>
        <w:numPr>
          <w:ilvl w:val="0"/>
          <w:numId w:val="10"/>
        </w:numPr>
        <w:spacing w:after="240"/>
      </w:pPr>
      <w:r w:rsidRPr="00622D3E">
        <w:t>Quantification of the identified extractables above the AET using standards with identical or similar analytical response</w:t>
      </w:r>
      <w:r>
        <w:t>.</w:t>
      </w:r>
    </w:p>
    <w:p w14:paraId="6952C8FF" w14:textId="77777777" w:rsidR="005731FA" w:rsidRPr="00622D3E" w:rsidRDefault="005731FA" w:rsidP="00581819">
      <w:pPr>
        <w:pStyle w:val="ICHTextOnly"/>
        <w:numPr>
          <w:ilvl w:val="0"/>
          <w:numId w:val="10"/>
        </w:numPr>
        <w:spacing w:after="240"/>
      </w:pPr>
      <w:r w:rsidRPr="00622D3E">
        <w:t>The analytical procedure used for quantifying the identified extractables above the AET should be qualified for the specific standard compound</w:t>
      </w:r>
      <w:r>
        <w:t>.</w:t>
      </w:r>
    </w:p>
    <w:p w14:paraId="27F5D10E" w14:textId="13D6421B" w:rsidR="005731FA" w:rsidRDefault="005731FA" w:rsidP="00581819">
      <w:pPr>
        <w:pStyle w:val="ICHTextOnly"/>
        <w:spacing w:after="240"/>
      </w:pPr>
      <w:r w:rsidRPr="695951DC">
        <w:t>If the amount of an adequately identified and quantified extractable exceeds its qualification limit (e.g., applicable safety threshold or</w:t>
      </w:r>
      <w:r w:rsidR="00840081">
        <w:t xml:space="preserve"> permitted daily exposure</w:t>
      </w:r>
      <w:r w:rsidRPr="695951DC">
        <w:t xml:space="preserve"> </w:t>
      </w:r>
      <w:r w:rsidR="00840081">
        <w:t>(</w:t>
      </w:r>
      <w:r w:rsidRPr="695951DC">
        <w:t>PDE</w:t>
      </w:r>
      <w:r w:rsidR="00840081">
        <w:t>)</w:t>
      </w:r>
      <w:r w:rsidRPr="695951DC">
        <w:t xml:space="preserve">), a leachables study is warranted to demonstrate </w:t>
      </w:r>
      <w:r w:rsidR="00CE5616">
        <w:t>the</w:t>
      </w:r>
      <w:r w:rsidRPr="695951DC">
        <w:t xml:space="preserve"> compound as a leachable remains below its qualification limit. In addition, a leachables study can also be used to </w:t>
      </w:r>
      <w:r>
        <w:t>assess</w:t>
      </w:r>
      <w:r w:rsidRPr="695951DC">
        <w:t xml:space="preserve"> the </w:t>
      </w:r>
      <w:r w:rsidR="00CB34EA">
        <w:t xml:space="preserve">quality </w:t>
      </w:r>
      <w:r w:rsidRPr="695951DC">
        <w:t>risk for extractables above the AET when those extractables cannot be identified with confirmed identities.</w:t>
      </w:r>
    </w:p>
    <w:p w14:paraId="572147F3" w14:textId="52E8BD58" w:rsidR="005731FA" w:rsidRDefault="000071AD" w:rsidP="00840081">
      <w:pPr>
        <w:pStyle w:val="Heading2"/>
      </w:pPr>
      <w:bookmarkStart w:id="19" w:name="_Toc201662512"/>
      <w:r>
        <w:t>Leachables Study</w:t>
      </w:r>
      <w:bookmarkEnd w:id="19"/>
    </w:p>
    <w:p w14:paraId="78FFB957" w14:textId="14CE3A49" w:rsidR="00B35EFE" w:rsidRPr="00622D3E" w:rsidRDefault="00B35EFE" w:rsidP="00C05618">
      <w:pPr>
        <w:pStyle w:val="ICHTextOnly"/>
        <w:spacing w:after="240"/>
      </w:pPr>
      <w:r w:rsidRPr="695951DC">
        <w:t>Leachables studies intended to support drug product registration are designed to represent the actual manufacturing conditions and intended storage conditions throughout the proposed shelf-life and in-use period.  During the shelf life and in-use period</w:t>
      </w:r>
      <w:r w:rsidR="005B6E60">
        <w:t>,</w:t>
      </w:r>
      <w:r w:rsidRPr="695951DC">
        <w:t xml:space="preserve"> multiple time points should be evaluated to characterize trending of leachables to estimate maximal occurrence.  The leachables assessment for the container closure system is performed on the actual drug product during stability storage and may include accelerated storage conditions.  For a container closure system, the study should involve multiple primary drug product stability and/or development batches manufactured with the actual packaging and delivery system intended for use with the commercial product. If multiple batches are not available</w:t>
      </w:r>
      <w:r w:rsidR="005B6E60">
        <w:t>,</w:t>
      </w:r>
      <w:r w:rsidRPr="695951DC">
        <w:t xml:space="preserve"> alternative approaches may be proposed with justification. Use of the same lots of components used in extractables assessments potentially enables a more meaningful correlation between extractables and leachables. Analytical procedures for specific, targeted leachables should be appropriately validated to establish that they are sensitive, selective, accurate, and precise. Non-targeted screening procedures should also be used and employ appropriate analytical techniques to facilitate detection of any unanticipated degradation of leachables, leachables from secondary packaging</w:t>
      </w:r>
      <w:r w:rsidR="005B6E60">
        <w:t>,</w:t>
      </w:r>
      <w:r w:rsidRPr="695951DC">
        <w:t xml:space="preserve"> and/or interaction products. </w:t>
      </w:r>
      <w:r>
        <w:t xml:space="preserve">The non-targeted screening study </w:t>
      </w:r>
      <w:r w:rsidRPr="695951DC">
        <w:t>should include the application of an AET</w:t>
      </w:r>
      <w:r>
        <w:t xml:space="preserve"> (See Section 5)</w:t>
      </w:r>
      <w:r w:rsidRPr="695951DC">
        <w:t xml:space="preserve"> to indicate a level above which leachable chemical entities should be identified, quantified, and reported for </w:t>
      </w:r>
      <w:r w:rsidRPr="695951DC" w:rsidDel="00BC69C5">
        <w:t xml:space="preserve">toxicological </w:t>
      </w:r>
      <w:r w:rsidRPr="695951DC">
        <w:t>assessment.</w:t>
      </w:r>
    </w:p>
    <w:p w14:paraId="057627A9" w14:textId="77777777" w:rsidR="00B35EFE" w:rsidRDefault="00B35EFE" w:rsidP="00271785">
      <w:pPr>
        <w:pStyle w:val="ICHTextOnly"/>
      </w:pPr>
      <w:r w:rsidRPr="695951DC">
        <w:t xml:space="preserve">Reference standards, if available, are preferred as they facilitate more accurate and precise quantitation of target leachables that may be present as actual drug product leachables when </w:t>
      </w:r>
      <w:r w:rsidRPr="695951DC">
        <w:lastRenderedPageBreak/>
        <w:t>they are used to produce either proper response factors or calibration curves; in which case the analytical accuracy and precision is high.</w:t>
      </w:r>
    </w:p>
    <w:p w14:paraId="3D8E6141" w14:textId="54C296B3" w:rsidR="00B35EFE" w:rsidRDefault="00B35EFE" w:rsidP="00C05618">
      <w:pPr>
        <w:pStyle w:val="Heading2"/>
        <w:ind w:left="357" w:hanging="357"/>
      </w:pPr>
      <w:bookmarkStart w:id="20" w:name="_Toc201662513"/>
      <w:r>
        <w:t>Simulated Leachable Study</w:t>
      </w:r>
      <w:bookmarkEnd w:id="20"/>
    </w:p>
    <w:p w14:paraId="3B86D120" w14:textId="2678B942" w:rsidR="006D2710" w:rsidRPr="00622D3E" w:rsidRDefault="006D2710" w:rsidP="00271785">
      <w:pPr>
        <w:pStyle w:val="ICHTextOnly"/>
      </w:pPr>
      <w:r w:rsidRPr="695951DC">
        <w:t xml:space="preserve">Circumstances may exist when performing a drug product leachables study is not technically feasible despite thorough due diligence which may include systematic investigation of multiple diverse sample preparation techniques coupled with highly sensitive and selective analytical methods, techniques and instrumentation. Such circumstances may include challenging detection or quantification thresholds associated with large volume </w:t>
      </w:r>
      <w:proofErr w:type="spellStart"/>
      <w:r w:rsidRPr="695951DC">
        <w:t>parenterals</w:t>
      </w:r>
      <w:proofErr w:type="spellEnd"/>
      <w:r w:rsidRPr="695951DC">
        <w:t xml:space="preserve"> (LVPs), significant analytical matrix interference inherent with complex drug product formulations, or a combination of such factors. In such situations, use of a simulation study to support actual drug product leachables </w:t>
      </w:r>
      <w:r w:rsidR="0079429E">
        <w:t>evaluation</w:t>
      </w:r>
      <w:r w:rsidR="0079429E" w:rsidRPr="695951DC">
        <w:t xml:space="preserve"> </w:t>
      </w:r>
      <w:r w:rsidRPr="695951DC">
        <w:t xml:space="preserve">may be justifiable. For example, a simulation study could be performed to augment a leachables study to accomplish the objectives that cannot be obtained by leachables testing. In the case of a challenging AET (i.e., procedure LOQ &gt; AET), the leachables study would be performed with relevant test procedure LOQ and </w:t>
      </w:r>
      <w:r w:rsidR="00843B4E">
        <w:t>a</w:t>
      </w:r>
      <w:r w:rsidRPr="695951DC">
        <w:t xml:space="preserve"> simulation study would be performed to fill in the gap between the LOQ and the AET.  Alternatively, a simulation study could be used to replace a leachables study when, through thorough due diligence, it is established that performing the leachables study is impractical.</w:t>
      </w:r>
    </w:p>
    <w:p w14:paraId="2822B92D" w14:textId="06D0FCD2" w:rsidR="00840081" w:rsidRPr="00622D3E" w:rsidRDefault="006D2710" w:rsidP="00C05618">
      <w:pPr>
        <w:pStyle w:val="ICHTextOnly"/>
        <w:spacing w:after="240"/>
      </w:pPr>
      <w:r w:rsidRPr="695951DC">
        <w:t xml:space="preserve">It is important to recognize that, regardless of how well the simulation study is designed and executed, its outcome will likely only approximate the results of a drug product leachable study and cannot fully replicate a true leachable profile of the drug product. For example, a simulation study cannot and will not address any potential interaction between leachables and the components of the drug product formulation components. </w:t>
      </w:r>
    </w:p>
    <w:p w14:paraId="42243CCD" w14:textId="4836E6DD" w:rsidR="006D2710" w:rsidRPr="00622D3E" w:rsidRDefault="006D2710" w:rsidP="00C05618">
      <w:pPr>
        <w:pStyle w:val="ICHTextOnly"/>
        <w:spacing w:after="240"/>
      </w:pPr>
      <w:r>
        <w:t>The simulation study is a surrogate study that reveals likely true leachables that would be detected if a leachables study could have been conducted.  Thus, the simulated leachables detected above the simulation study’s drug product specific AET should be identified, quantified, and assessed for safety. As the goal of a simulation study is to obtain a simulated leachables profile that closely mimics the actual leachables profile generated by the drug product over its shelf-life, the simulation conditions and process used in the simulation study should closely match the drug product manufacturing/storage conditions used in a leachables study, with the intent of simulating the conditions experienced by the drug product during its manufacturing, shelf-life storage, and in-use (clinical) preparation</w:t>
      </w:r>
      <w:r w:rsidRPr="695951DC">
        <w:t>.</w:t>
      </w:r>
      <w:r>
        <w:t xml:space="preserve"> Furthermore, the simulation solvent should be chosen so that is has a similar propensity to </w:t>
      </w:r>
      <w:r w:rsidDel="3C871F6A">
        <w:t>leach</w:t>
      </w:r>
      <w:r>
        <w:t xml:space="preserve"> as the drug product</w:t>
      </w:r>
      <w:r w:rsidRPr="003A2AD2">
        <w:t xml:space="preserve">, and the simulated manufacturing process should be performed </w:t>
      </w:r>
      <w:r>
        <w:t xml:space="preserve">using worst-case conditions. </w:t>
      </w:r>
      <w:r>
        <w:lastRenderedPageBreak/>
        <w:t xml:space="preserve">Moreover, a simulation study can be accelerated versus drug product shelf storage conditions to mimic the outcome of a leachable study over the entire drug product shelf life with shorter duration. </w:t>
      </w:r>
    </w:p>
    <w:p w14:paraId="033D595F" w14:textId="350829A7" w:rsidR="006D2710" w:rsidRDefault="006D2710" w:rsidP="00271785">
      <w:pPr>
        <w:pStyle w:val="ICHTextOnly"/>
      </w:pPr>
      <w:r w:rsidRPr="695951DC">
        <w:t>As the intent of the simulation study is to augment or replace a leachables study, the simulation study must meet all the quality requirements for a leachables study, including test procedure qualification. When properly justified, use of a simulation study is an alternative to the recommended practice of performing leachables studies. Thus, the intended application, justification, and qualification of a simulated leaching study for a particular drug product should be based on a scientifically sound rationale with demonstration of due diligence supported by appropriate testing and experimentation. When considering the use of a simulation study, consultation with the relevant regional Regulatory Agency prior to implementation may be warranted.</w:t>
      </w:r>
    </w:p>
    <w:p w14:paraId="14E7F9C8" w14:textId="175E1B1F" w:rsidR="006D2710" w:rsidRDefault="006D2710" w:rsidP="00840081">
      <w:pPr>
        <w:pStyle w:val="Heading2"/>
      </w:pPr>
      <w:bookmarkStart w:id="21" w:name="_Toc201662514"/>
      <w:r>
        <w:t>Extractable and Leachable Correlation</w:t>
      </w:r>
      <w:bookmarkEnd w:id="21"/>
    </w:p>
    <w:p w14:paraId="34C22C28" w14:textId="7756694C" w:rsidR="00627B56" w:rsidRPr="00622D3E" w:rsidRDefault="000F4409" w:rsidP="00C05618">
      <w:pPr>
        <w:pStyle w:val="ICHTextOnly"/>
        <w:spacing w:after="240"/>
      </w:pPr>
      <w:r w:rsidRPr="695951DC">
        <w:t xml:space="preserve">The main purpose for generating extractables profiles is to characterize and assist selection of components, identify potential leachables, develop </w:t>
      </w:r>
      <w:r w:rsidR="000762AB">
        <w:t>methods</w:t>
      </w:r>
      <w:r w:rsidRPr="695951DC">
        <w:t xml:space="preserve"> for targeted leachables, and correlate leachables and extractables. Leachables generally represent a subset of the extractables and the concentration of each leachable is typically below that of the corresponding extractable from a well conducted extractables study.  </w:t>
      </w:r>
    </w:p>
    <w:p w14:paraId="4D590633" w14:textId="4F20A8D0" w:rsidR="000F4409" w:rsidRPr="00622D3E" w:rsidRDefault="000F4409" w:rsidP="00C05618">
      <w:pPr>
        <w:pStyle w:val="ICHTextOnly"/>
        <w:spacing w:after="240"/>
      </w:pPr>
      <w:r w:rsidRPr="695951DC">
        <w:t>Once the E&amp;L profiles above AET are available</w:t>
      </w:r>
      <w:r w:rsidR="00856D42">
        <w:t>,</w:t>
      </w:r>
      <w:r w:rsidRPr="695951DC">
        <w:t xml:space="preserve"> it is recommended that a qualitative and quantitative correlation between the two be evaluated. A correlation between leachables and extractables may be established when actual drug product leachables can be comparatively linked qualitatively and quantitatively with extractables from corresponding extractables </w:t>
      </w:r>
      <w:r w:rsidR="00131696">
        <w:t>studies</w:t>
      </w:r>
      <w:r w:rsidR="00131696" w:rsidRPr="695951DC">
        <w:t xml:space="preserve"> </w:t>
      </w:r>
      <w:r w:rsidRPr="695951DC">
        <w:t>of components or systems. Correlating leachables with extractables may support a justification for the use of routine extractables testing of components as an alternative to routine leachables testing during stability studies when appropriate for high-risk drug products, change control, and ongoing quality control.  Potential explanations for leachables that were not detected or detected at higher levels than suggested by the extraction study conditions could include inadequate design and/or execution of the extractables study, degradation of leachables to form new compounds, interaction products of leachables with API and/or excipients, chemicals migrated from packaging, and/or new leachables resulting from materials change due to aging (e.g., exposure to UV light, heat, oxygen) during shelf-life storage. Though the E&amp;L correlation is valuable and informative for</w:t>
      </w:r>
      <w:r w:rsidR="00131696">
        <w:t xml:space="preserve"> the quality</w:t>
      </w:r>
      <w:r w:rsidR="00DD186A">
        <w:t xml:space="preserve"> </w:t>
      </w:r>
      <w:r w:rsidRPr="695951DC">
        <w:t xml:space="preserve">risk assessment and may be </w:t>
      </w:r>
      <w:r w:rsidRPr="695951DC">
        <w:lastRenderedPageBreak/>
        <w:t>leveraged for component selection and life-cycle management decisions, it is the leachables profile that ultimately drives patient safety risk evaluations and component acceptability.</w:t>
      </w:r>
    </w:p>
    <w:p w14:paraId="5663ECC3" w14:textId="2163E3FE" w:rsidR="00022CC5" w:rsidRPr="00A661D7" w:rsidRDefault="000F4409" w:rsidP="00271785">
      <w:pPr>
        <w:pStyle w:val="ICHTextOnly"/>
      </w:pPr>
      <w:r w:rsidRPr="695951DC">
        <w:t>Any changes occurring during the product life</w:t>
      </w:r>
      <w:r w:rsidR="00856D42">
        <w:t>-</w:t>
      </w:r>
      <w:r w:rsidRPr="695951DC">
        <w:t xml:space="preserve">cycle significantly altering the </w:t>
      </w:r>
      <w:bookmarkStart w:id="22" w:name="_Hlk193282838"/>
      <w:r w:rsidRPr="695951DC">
        <w:t xml:space="preserve">extractable/leachable </w:t>
      </w:r>
      <w:bookmarkEnd w:id="22"/>
      <w:r w:rsidRPr="695951DC">
        <w:t>profiles should prompt re-evaluation of the extractable/leachable profiles and their correlation. If a specific leachable is observed in the drug product during stability studies at a level significantly greater than anticipated from the calculated potential maximum level of the leachable as established with the extraction study conducted on the same component/system lots as were used for the drug product stability batches, it can indicate that the extraction study was incomplete and it may not be possible to establish a meaningful leachables to extractables correlation for that particular leachable.</w:t>
      </w:r>
    </w:p>
    <w:p w14:paraId="101A0ACF" w14:textId="7AF807F6" w:rsidR="00022CC5" w:rsidRPr="001C57C8" w:rsidRDefault="00A661D7" w:rsidP="00627B56">
      <w:pPr>
        <w:pStyle w:val="Heading1"/>
      </w:pPr>
      <w:bookmarkStart w:id="23" w:name="_Toc201662515"/>
      <w:r>
        <w:t>ANALYTICAL EVALUATION THRESHOLD</w:t>
      </w:r>
      <w:bookmarkEnd w:id="23"/>
    </w:p>
    <w:p w14:paraId="793F7138" w14:textId="33B132EE" w:rsidR="00C7278B" w:rsidRPr="00622D3E" w:rsidRDefault="007504C8" w:rsidP="00627B56">
      <w:pPr>
        <w:pStyle w:val="ICHTextOnly"/>
        <w:spacing w:after="180"/>
      </w:pPr>
      <w:r w:rsidRPr="695951DC">
        <w:t xml:space="preserve">The AET is not a control threshold, but rather a threshold corresponding to a concentration above which extractables or leachables should be identified, quantitated, and reported for </w:t>
      </w:r>
      <w:r>
        <w:t>safety</w:t>
      </w:r>
      <w:r w:rsidRPr="695951DC" w:rsidDel="00DD186A">
        <w:t xml:space="preserve"> </w:t>
      </w:r>
      <w:r w:rsidRPr="695951DC">
        <w:t>assessment, forming the foundation of the</w:t>
      </w:r>
      <w:r>
        <w:t xml:space="preserve"> overall E&amp;L </w:t>
      </w:r>
      <w:r w:rsidRPr="695951DC">
        <w:t xml:space="preserve">risk assessment and control strategy. </w:t>
      </w:r>
      <w:r w:rsidR="003A1926" w:rsidRPr="003A1926">
        <w:t>The ICH guidelines on impurities in new drug substances (ICH Q3A) and impurities in new drug products (ICH Q3B), describe a series of predetermined thresholds based upon maximum daily dosing that are intended to provide adequate control over critical quality attributes that</w:t>
      </w:r>
      <w:r w:rsidR="00DA66BB">
        <w:t xml:space="preserve"> may</w:t>
      </w:r>
      <w:r w:rsidR="003A1926" w:rsidRPr="003A1926">
        <w:t xml:space="preserve"> impact the safety and efficacy of the drug product over the course of the product shelf-life. In contrast, this guideline recommends incorporation of a Safety Concern Threshold (SCT; see Section 6 Safety Assessment) to first establish a study-specific AET.</w:t>
      </w:r>
      <w:r w:rsidR="00B3213C">
        <w:t xml:space="preserve"> </w:t>
      </w:r>
    </w:p>
    <w:p w14:paraId="42235A51" w14:textId="327F2D5E" w:rsidR="00C7278B" w:rsidRPr="00EC2BA3" w:rsidRDefault="00C7278B" w:rsidP="00627B56">
      <w:pPr>
        <w:pStyle w:val="ICHTextOnly"/>
        <w:spacing w:after="180"/>
      </w:pPr>
      <w:r w:rsidRPr="695951DC">
        <w:t xml:space="preserve">An extraction study should include the establishment and application of an AET to indicate extractable chemical entities to be detected, identified and reported as potential leachables for the drug product. For a leachable study, the AET is established at a concentration above which compounds should be identified and quantitated to enable appropriate </w:t>
      </w:r>
      <w:r w:rsidRPr="00EC2BA3">
        <w:t>safety assessment.</w:t>
      </w:r>
      <w:r w:rsidR="00CB1A83" w:rsidRPr="00EC2BA3">
        <w:t xml:space="preserve"> </w:t>
      </w:r>
      <w:r w:rsidR="06377328" w:rsidRPr="00EC2BA3">
        <w:rPr>
          <w:rFonts w:eastAsia="Calibri"/>
        </w:rPr>
        <w:t xml:space="preserve">For </w:t>
      </w:r>
      <w:r w:rsidR="00E12096" w:rsidRPr="00EC2BA3">
        <w:rPr>
          <w:rFonts w:eastAsia="Calibri"/>
        </w:rPr>
        <w:t>Class 1</w:t>
      </w:r>
      <w:r w:rsidR="003609C2" w:rsidRPr="00EC2BA3">
        <w:rPr>
          <w:rFonts w:eastAsia="Calibri"/>
        </w:rPr>
        <w:t xml:space="preserve"> </w:t>
      </w:r>
      <w:r w:rsidR="06377328" w:rsidRPr="00EC2BA3">
        <w:rPr>
          <w:rFonts w:eastAsia="Calibri"/>
        </w:rPr>
        <w:t>leachable</w:t>
      </w:r>
      <w:r w:rsidR="00A42D2D" w:rsidRPr="00EC2BA3">
        <w:rPr>
          <w:rFonts w:eastAsia="Calibri"/>
        </w:rPr>
        <w:t>s</w:t>
      </w:r>
      <w:r w:rsidR="06377328" w:rsidRPr="00EC2BA3">
        <w:rPr>
          <w:rFonts w:eastAsia="Calibri"/>
        </w:rPr>
        <w:t xml:space="preserve"> </w:t>
      </w:r>
      <w:r w:rsidR="00E12096" w:rsidRPr="00EC2BA3">
        <w:rPr>
          <w:rFonts w:eastAsia="Calibri"/>
        </w:rPr>
        <w:t xml:space="preserve">(See </w:t>
      </w:r>
      <w:r w:rsidR="003609C2" w:rsidRPr="00EC2BA3">
        <w:rPr>
          <w:rFonts w:eastAsia="Calibri"/>
        </w:rPr>
        <w:t xml:space="preserve">Appendix 4, </w:t>
      </w:r>
      <w:r w:rsidR="00E12096" w:rsidRPr="00EC2BA3">
        <w:rPr>
          <w:rFonts w:eastAsia="Calibri"/>
        </w:rPr>
        <w:t xml:space="preserve">Table </w:t>
      </w:r>
      <w:r w:rsidR="0002778C" w:rsidRPr="00EC2BA3">
        <w:rPr>
          <w:rFonts w:eastAsia="Calibri"/>
        </w:rPr>
        <w:t>A.4.1</w:t>
      </w:r>
      <w:r w:rsidR="009111B0">
        <w:rPr>
          <w:rFonts w:eastAsia="Calibri"/>
        </w:rPr>
        <w:t>)</w:t>
      </w:r>
      <w:r w:rsidR="06377328" w:rsidRPr="00EC2BA3">
        <w:rPr>
          <w:rFonts w:eastAsia="Calibri"/>
        </w:rPr>
        <w:t xml:space="preserve">, </w:t>
      </w:r>
      <w:r w:rsidR="00250605" w:rsidRPr="00EC2BA3">
        <w:rPr>
          <w:rFonts w:eastAsia="Calibri"/>
        </w:rPr>
        <w:t xml:space="preserve">the </w:t>
      </w:r>
      <w:r w:rsidR="06377328" w:rsidRPr="00EC2BA3">
        <w:rPr>
          <w:rFonts w:eastAsia="Calibri"/>
        </w:rPr>
        <w:t xml:space="preserve">compound-specific safety </w:t>
      </w:r>
      <w:r w:rsidR="005A772E" w:rsidRPr="00EC2BA3">
        <w:rPr>
          <w:rFonts w:eastAsia="Calibri"/>
        </w:rPr>
        <w:t>limit</w:t>
      </w:r>
      <w:r w:rsidR="06377328" w:rsidRPr="00EC2BA3">
        <w:rPr>
          <w:rFonts w:eastAsia="Calibri"/>
        </w:rPr>
        <w:t xml:space="preserve">, instead of </w:t>
      </w:r>
      <w:r w:rsidR="00B42743">
        <w:rPr>
          <w:rFonts w:eastAsia="Calibri"/>
        </w:rPr>
        <w:t xml:space="preserve">a </w:t>
      </w:r>
      <w:r w:rsidR="06377328" w:rsidRPr="00EC2BA3">
        <w:rPr>
          <w:rFonts w:eastAsia="Calibri"/>
        </w:rPr>
        <w:t>product-specific SCT</w:t>
      </w:r>
      <w:r w:rsidR="00233A08" w:rsidRPr="00EC2BA3">
        <w:rPr>
          <w:rFonts w:eastAsia="Calibri"/>
        </w:rPr>
        <w:t>,</w:t>
      </w:r>
      <w:r w:rsidR="06377328" w:rsidRPr="00EC2BA3">
        <w:rPr>
          <w:rFonts w:eastAsia="Calibri"/>
        </w:rPr>
        <w:t xml:space="preserve"> should be used for quantification.</w:t>
      </w:r>
      <w:r w:rsidR="06377328" w:rsidRPr="00EC2BA3">
        <w:t xml:space="preserve"> </w:t>
      </w:r>
    </w:p>
    <w:p w14:paraId="73A8FFE2" w14:textId="0F77EC47" w:rsidR="00C7278B" w:rsidRDefault="00C7278B" w:rsidP="00627B56">
      <w:pPr>
        <w:pStyle w:val="ICHTextOnly"/>
        <w:spacing w:after="180"/>
      </w:pPr>
      <w:r w:rsidRPr="00EC2BA3">
        <w:t>Derivation of the study-specific AET depends on dosing considerations (e.g., maximum</w:t>
      </w:r>
      <w:r w:rsidRPr="695951DC">
        <w:t xml:space="preserve"> dose level, frequency of dosing, and duration of treatment).  The AET may be expressed using various units of measure depending on the type of study (extractable vs leachable) and what is being evaluated.  For example, weight of extractable per weight of component material (e.g., µg/g) or weight of extractable per extraction solution volume (e.g., µg/mL) are commonly used </w:t>
      </w:r>
      <w:r w:rsidRPr="695951DC">
        <w:lastRenderedPageBreak/>
        <w:t xml:space="preserve">units for extractables in solutions.  For leachables studies, weight of leachables per packaging or delivery component/system (e.g., µg/component, µg/mL, µg/g, ppm) may be used to represent the leachables AET based on the entire container closure system or set of manufacturing components. Regardless of the units used to express the AET, they will all equate to an equivalent potential patient dose for a given study. Example AET calculations are presented in Appendix 3. </w:t>
      </w:r>
    </w:p>
    <w:p w14:paraId="4F33813F" w14:textId="75A1C945" w:rsidR="00C7278B" w:rsidRDefault="002B3F33" w:rsidP="00627B56">
      <w:pPr>
        <w:pStyle w:val="Heading2"/>
        <w:spacing w:after="180"/>
      </w:pPr>
      <w:bookmarkStart w:id="24" w:name="_Toc201662516"/>
      <w:r>
        <w:t>Analytical Uncertainty Factor</w:t>
      </w:r>
      <w:bookmarkEnd w:id="24"/>
    </w:p>
    <w:p w14:paraId="48B52CC0" w14:textId="0310E531" w:rsidR="005C61AF" w:rsidRPr="00622D3E" w:rsidRDefault="1D49E61B" w:rsidP="00627B56">
      <w:pPr>
        <w:pStyle w:val="ICHTextOnly"/>
        <w:spacing w:after="180"/>
      </w:pPr>
      <w:r w:rsidRPr="018E7B21">
        <w:t>When an AET</w:t>
      </w:r>
      <w:r w:rsidR="002B04B2">
        <w:t xml:space="preserve"> </w:t>
      </w:r>
      <w:r w:rsidR="7A5C7E52">
        <w:t xml:space="preserve">is </w:t>
      </w:r>
      <w:r w:rsidR="4B74ABE9">
        <w:t>used</w:t>
      </w:r>
      <w:r w:rsidR="7A5C7E52">
        <w:t xml:space="preserve"> in semi</w:t>
      </w:r>
      <w:r w:rsidR="2C8EAD74">
        <w:t>-</w:t>
      </w:r>
      <w:r w:rsidRPr="018E7B21">
        <w:t>quantitative</w:t>
      </w:r>
      <w:r w:rsidR="7A5C7E52">
        <w:t xml:space="preserve"> analytical method</w:t>
      </w:r>
      <w:r w:rsidR="6CC5B764">
        <w:t>s</w:t>
      </w:r>
      <w:r w:rsidR="30C840DC">
        <w:t xml:space="preserve">, </w:t>
      </w:r>
      <w:r w:rsidR="61F21C2B">
        <w:t xml:space="preserve">an </w:t>
      </w:r>
      <w:r w:rsidR="30C840DC">
        <w:t>appropriate</w:t>
      </w:r>
      <w:r w:rsidR="3AC46607">
        <w:t xml:space="preserve"> uncertainty</w:t>
      </w:r>
      <w:r w:rsidR="30C840DC">
        <w:t xml:space="preserve"> factor </w:t>
      </w:r>
      <w:r w:rsidR="3F8CB44D">
        <w:t>s</w:t>
      </w:r>
      <w:r w:rsidR="6CC5B764">
        <w:t xml:space="preserve">hould </w:t>
      </w:r>
      <w:r w:rsidR="7040CC9D">
        <w:t xml:space="preserve">be applied to account for </w:t>
      </w:r>
      <w:r w:rsidR="4821A277">
        <w:t xml:space="preserve">potential </w:t>
      </w:r>
      <w:r w:rsidRPr="018E7B21">
        <w:t>underestimation of analyte concentrations</w:t>
      </w:r>
      <w:r w:rsidR="4821A277">
        <w:t xml:space="preserve"> due to </w:t>
      </w:r>
      <w:r w:rsidRPr="018E7B21">
        <w:t>differences</w:t>
      </w:r>
      <w:r w:rsidR="29574A0F">
        <w:t xml:space="preserve"> in response </w:t>
      </w:r>
      <w:r w:rsidRPr="018E7B21">
        <w:t>factors</w:t>
      </w:r>
      <w:r w:rsidR="29574A0F">
        <w:t xml:space="preserve"> between analytes and</w:t>
      </w:r>
      <w:r w:rsidR="1C41645B">
        <w:t xml:space="preserve"> </w:t>
      </w:r>
      <w:r w:rsidR="29574A0F">
        <w:t>the referenc</w:t>
      </w:r>
      <w:r w:rsidR="6939E182">
        <w:t xml:space="preserve">e </w:t>
      </w:r>
      <w:r>
        <w:t>standard</w:t>
      </w:r>
      <w:r w:rsidR="59491D61">
        <w:t xml:space="preserve">. </w:t>
      </w:r>
    </w:p>
    <w:p w14:paraId="05243E3E" w14:textId="5D72E5B7" w:rsidR="002A577B" w:rsidRDefault="005C61AF" w:rsidP="00627B56">
      <w:pPr>
        <w:pStyle w:val="ICHTextOnly"/>
        <w:spacing w:after="180"/>
      </w:pPr>
      <w:r w:rsidRPr="695951DC">
        <w:t xml:space="preserve">The determination of the appropriate magnitude for the analytical uncertainty factor(s) in a given extractable/leachable study depends on the prior knowledge and understanding of the </w:t>
      </w:r>
      <w:r w:rsidRPr="003D6324">
        <w:t>materials of construction, the possible chemical structure of the potential extractables/leachables, the availability of the reference standards covering the range of</w:t>
      </w:r>
      <w:r w:rsidRPr="695951DC">
        <w:t xml:space="preserve"> response factors, and the limitations of the analytical methods.  </w:t>
      </w:r>
    </w:p>
    <w:p w14:paraId="33F0C7A0" w14:textId="59761FBE" w:rsidR="002B3F33" w:rsidRPr="002B3F33" w:rsidRDefault="005C61AF" w:rsidP="00627B56">
      <w:pPr>
        <w:pStyle w:val="ICHTextOnly"/>
        <w:spacing w:after="180"/>
      </w:pPr>
      <w:r w:rsidRPr="00622D3E">
        <w:t xml:space="preserve">Under certain circumstances an acceptable approach is to </w:t>
      </w:r>
      <w:r w:rsidR="008319A2">
        <w:t>multi</w:t>
      </w:r>
      <w:r w:rsidRPr="00622D3E">
        <w:t>ply a</w:t>
      </w:r>
      <w:r w:rsidR="00641108">
        <w:t>n</w:t>
      </w:r>
      <w:r w:rsidRPr="00622D3E">
        <w:t xml:space="preserve"> </w:t>
      </w:r>
      <w:r w:rsidR="00FA2828">
        <w:t>uncertainty factor (</w:t>
      </w:r>
      <w:r w:rsidRPr="00622D3E">
        <w:t>UF</w:t>
      </w:r>
      <w:r w:rsidR="00FA2828">
        <w:t>)</w:t>
      </w:r>
      <w:r w:rsidRPr="00622D3E">
        <w:t xml:space="preserve"> of no greater than 0.5. Alternatively, an uncertainty factor can be derived from statistical analysis of appropriately constituted response factor database of relevant reference compounds. Justification of UF applied should be included in the extractable/leachable study report.</w:t>
      </w:r>
    </w:p>
    <w:p w14:paraId="7D48DEFE" w14:textId="2D83DEF1" w:rsidR="000F4409" w:rsidRPr="001C57C8" w:rsidRDefault="00B56FE6" w:rsidP="00627B56">
      <w:pPr>
        <w:pStyle w:val="Heading1"/>
      </w:pPr>
      <w:bookmarkStart w:id="25" w:name="_Toc201662517"/>
      <w:r>
        <w:t>SAFETY ASSESSMENT</w:t>
      </w:r>
      <w:bookmarkEnd w:id="25"/>
    </w:p>
    <w:p w14:paraId="6F9FA098" w14:textId="753C6266" w:rsidR="000F4409" w:rsidRDefault="00B56FE6" w:rsidP="00627B56">
      <w:pPr>
        <w:pStyle w:val="Heading2"/>
        <w:spacing w:after="180"/>
      </w:pPr>
      <w:bookmarkStart w:id="26" w:name="_Toc201662518"/>
      <w:r>
        <w:t>General Principles</w:t>
      </w:r>
      <w:bookmarkEnd w:id="26"/>
    </w:p>
    <w:p w14:paraId="22B03356" w14:textId="13325BF7" w:rsidR="00A101D1" w:rsidRPr="00622D3E" w:rsidRDefault="001B4F4C" w:rsidP="00C05618">
      <w:pPr>
        <w:pStyle w:val="ICHTextOnly"/>
        <w:spacing w:after="180"/>
      </w:pPr>
      <w:r w:rsidRPr="695951DC">
        <w:t xml:space="preserve">A risk-based scientific evaluation is needed to provide confidence that </w:t>
      </w:r>
      <w:r w:rsidR="00E828F2" w:rsidRPr="00E828F2">
        <w:t>any</w:t>
      </w:r>
      <w:r w:rsidRPr="695951DC">
        <w:t xml:space="preserve"> potential leachables in the drug product are at levels where they pose negligible risk to the patient.  Within this overall risk-based evaluation, the focus of the safety assessment is the toxicological evaluation of leachables in the drug product exceeding a predefined SCT for that drug product. Within this context, the SCT is considered the threshold below which a leachable would have an exposure so low as to present negligible mutagenic and non-mutagenic toxicity concerns. The outcome of the safety assessment can be used to determine if levels of </w:t>
      </w:r>
      <w:r w:rsidR="00793DE3">
        <w:t xml:space="preserve">Class 1 </w:t>
      </w:r>
      <w:r w:rsidRPr="695951DC">
        <w:t>leachables from a material are considered acceptable and may be used to set specifications for leachables in the drug product if needed.</w:t>
      </w:r>
    </w:p>
    <w:p w14:paraId="5A6CA77B" w14:textId="4CC65FCF" w:rsidR="001B4F4C" w:rsidRDefault="363007D0" w:rsidP="00271785">
      <w:pPr>
        <w:pStyle w:val="ICHTextOnly"/>
      </w:pPr>
      <w:r>
        <w:t xml:space="preserve">Since the SCT is defined to be protective of both mutagenic and non-mutagenic effects, it must </w:t>
      </w:r>
      <w:r>
        <w:lastRenderedPageBreak/>
        <w:t xml:space="preserve">consider both mutagenicity concerns and concerns related to alternative toxicity endpoints and is based on whichever is more limiting with respect to exposure.  As such, in addition to amount of exposure, </w:t>
      </w:r>
      <w:r w:rsidR="00241E94">
        <w:t>the SCT</w:t>
      </w:r>
      <w:r>
        <w:t xml:space="preserve"> dependent on both route and duration of exposure. For mutagenicity concerns, the Threshold of Toxicological Concern (TTC) as described in ICH M7 is considered applicable. For non-mutagenic toxicity endpoints, a Qualification Threshold (QT) is used in this guideline and may be considered as a dose at which potential non-mutagenic toxic effects are negligible. Subsequently, the SCT is the lowest value of either the TTC or QT for a specific drug product, considering route and potential duration of exposure. Oral and parenteral QT values have been derived by review of </w:t>
      </w:r>
      <w:r w:rsidR="006355F1">
        <w:t>approximately 330</w:t>
      </w:r>
      <w:r>
        <w:t xml:space="preserve"> potential leachable permitted daily exposures (PDEs).  An overview of these </w:t>
      </w:r>
      <w:r w:rsidR="00EA02F5">
        <w:t xml:space="preserve">systemic </w:t>
      </w:r>
      <w:r>
        <w:t>safety thresholds (</w:t>
      </w:r>
      <w:r w:rsidR="00243E6E">
        <w:t xml:space="preserve">expressed </w:t>
      </w:r>
      <w:r>
        <w:t xml:space="preserve">in µg/day) for oral, parenteral, </w:t>
      </w:r>
      <w:r w:rsidR="00765081">
        <w:t>dermal</w:t>
      </w:r>
      <w:r w:rsidR="006A71A2">
        <w:t xml:space="preserve">/transdermal </w:t>
      </w:r>
      <w:r>
        <w:t>and inhalation routes of exposure, are provided in Table 1</w:t>
      </w:r>
      <w:r w:rsidR="0014604E">
        <w:t xml:space="preserve">. </w:t>
      </w:r>
      <w:r w:rsidR="00EA02F5">
        <w:t>In addition</w:t>
      </w:r>
      <w:r w:rsidR="002C1A06">
        <w:t xml:space="preserve">, </w:t>
      </w:r>
      <w:r w:rsidR="00BD5F51">
        <w:t xml:space="preserve">local toxicity thresholds for </w:t>
      </w:r>
      <w:r w:rsidR="00637E76">
        <w:t>leachable concentration</w:t>
      </w:r>
      <w:r w:rsidR="00CC1B97">
        <w:t xml:space="preserve">s in </w:t>
      </w:r>
      <w:r w:rsidR="00287028">
        <w:t>drug product</w:t>
      </w:r>
      <w:r w:rsidR="00CC1B97">
        <w:t>s</w:t>
      </w:r>
      <w:r w:rsidR="00287028">
        <w:t xml:space="preserve"> for topical ophthalmic, </w:t>
      </w:r>
      <w:r w:rsidR="004A73A1">
        <w:t>subcutaneous</w:t>
      </w:r>
      <w:r w:rsidR="00F458F0">
        <w:t>/</w:t>
      </w:r>
      <w:r w:rsidR="004A73A1">
        <w:t xml:space="preserve">intradermal, </w:t>
      </w:r>
      <w:r w:rsidR="00F458F0">
        <w:t>dermal/transdermal</w:t>
      </w:r>
      <w:r w:rsidR="00C43D38">
        <w:t xml:space="preserve"> </w:t>
      </w:r>
      <w:r w:rsidR="00DA6815">
        <w:t xml:space="preserve">and inhalation </w:t>
      </w:r>
      <w:r w:rsidR="00C43D38">
        <w:t>routes of exposure</w:t>
      </w:r>
      <w:r w:rsidR="00925EE2">
        <w:t xml:space="preserve"> are presented</w:t>
      </w:r>
      <w:r w:rsidR="00F458F0">
        <w:t xml:space="preserve">. </w:t>
      </w:r>
      <w:r>
        <w:t xml:space="preserve">For other routes of administration, the concepts described in this guideline may be used to determine acceptable exposure levels. </w:t>
      </w:r>
    </w:p>
    <w:p w14:paraId="1D1DB7EF" w14:textId="0E4FA848" w:rsidR="002B04B2" w:rsidRDefault="002B04B2">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sz w:val="24"/>
          <w:szCs w:val="24"/>
        </w:rPr>
      </w:pPr>
      <w:r>
        <w:br w:type="page"/>
      </w:r>
    </w:p>
    <w:p w14:paraId="7FB41C08" w14:textId="65682B72" w:rsidR="005F28AF" w:rsidRDefault="00A523EA" w:rsidP="00520FDE">
      <w:pPr>
        <w:pStyle w:val="ICHTextOnly"/>
      </w:pPr>
      <w:r w:rsidRPr="00A523EA">
        <w:rPr>
          <w:b/>
          <w:bCs/>
        </w:rPr>
        <w:lastRenderedPageBreak/>
        <w:t>Table 1</w:t>
      </w:r>
      <w:r>
        <w:rPr>
          <w:b/>
          <w:bCs/>
        </w:rPr>
        <w:t>:</w:t>
      </w:r>
      <w:r w:rsidRPr="00A523EA">
        <w:rPr>
          <w:b/>
          <w:bCs/>
        </w:rPr>
        <w:t xml:space="preserve"> </w:t>
      </w:r>
      <w:r w:rsidR="00DA177F">
        <w:rPr>
          <w:b/>
          <w:bCs/>
        </w:rPr>
        <w:t>Systemic and Local Toxicity</w:t>
      </w:r>
      <w:r w:rsidRPr="00A523EA">
        <w:rPr>
          <w:b/>
          <w:bCs/>
        </w:rPr>
        <w:t xml:space="preserve"> Thresholds</w:t>
      </w:r>
    </w:p>
    <w:tbl>
      <w:tblPr>
        <w:tblStyle w:val="TableGrid"/>
        <w:tblW w:w="8995" w:type="dxa"/>
        <w:tblLayout w:type="fixed"/>
        <w:tblLook w:val="04A0" w:firstRow="1" w:lastRow="0" w:firstColumn="1" w:lastColumn="0" w:noHBand="0" w:noVBand="1"/>
      </w:tblPr>
      <w:tblGrid>
        <w:gridCol w:w="1435"/>
        <w:gridCol w:w="810"/>
        <w:gridCol w:w="900"/>
        <w:gridCol w:w="675"/>
        <w:gridCol w:w="1035"/>
        <w:gridCol w:w="540"/>
        <w:gridCol w:w="1800"/>
        <w:gridCol w:w="450"/>
        <w:gridCol w:w="1350"/>
      </w:tblGrid>
      <w:tr w:rsidR="005F28AF" w:rsidRPr="0014604E" w14:paraId="2B910A8B" w14:textId="77777777" w:rsidTr="3963C00F">
        <w:trPr>
          <w:trHeight w:val="300"/>
        </w:trPr>
        <w:tc>
          <w:tcPr>
            <w:tcW w:w="8995" w:type="dxa"/>
            <w:gridSpan w:val="9"/>
            <w:shd w:val="clear" w:color="auto" w:fill="BFBFBF" w:themeFill="background1" w:themeFillShade="BF"/>
            <w:vAlign w:val="center"/>
          </w:tcPr>
          <w:p w14:paraId="3BA45D03" w14:textId="77777777" w:rsidR="005F28AF" w:rsidRPr="0014604E" w:rsidRDefault="005F28AF" w:rsidP="00F47516">
            <w:pPr>
              <w:jc w:val="center"/>
              <w:rPr>
                <w:b/>
                <w:bCs/>
                <w:sz w:val="22"/>
                <w:szCs w:val="22"/>
              </w:rPr>
            </w:pPr>
            <w:r w:rsidRPr="0014604E">
              <w:rPr>
                <w:b/>
                <w:bCs/>
                <w:sz w:val="22"/>
                <w:szCs w:val="22"/>
              </w:rPr>
              <w:t>Systemic Toxicity Thresholds</w:t>
            </w:r>
          </w:p>
        </w:tc>
      </w:tr>
      <w:tr w:rsidR="0014604E" w:rsidRPr="0014604E" w14:paraId="26DCF7CA" w14:textId="77777777" w:rsidTr="3963C00F">
        <w:trPr>
          <w:trHeight w:val="300"/>
        </w:trPr>
        <w:tc>
          <w:tcPr>
            <w:tcW w:w="2245" w:type="dxa"/>
            <w:gridSpan w:val="2"/>
            <w:vMerge w:val="restart"/>
            <w:shd w:val="clear" w:color="auto" w:fill="F2F2F2" w:themeFill="background1" w:themeFillShade="F2"/>
            <w:vAlign w:val="center"/>
          </w:tcPr>
          <w:p w14:paraId="764E30CA" w14:textId="77777777" w:rsidR="005F28AF" w:rsidRPr="0014604E" w:rsidRDefault="005F28AF" w:rsidP="00F47516">
            <w:pPr>
              <w:jc w:val="left"/>
              <w:rPr>
                <w:b/>
                <w:bCs/>
                <w:sz w:val="22"/>
                <w:szCs w:val="22"/>
              </w:rPr>
            </w:pPr>
            <w:r w:rsidRPr="0014604E">
              <w:rPr>
                <w:b/>
                <w:bCs/>
                <w:sz w:val="22"/>
                <w:szCs w:val="22"/>
              </w:rPr>
              <w:t>Exposure Duration</w:t>
            </w:r>
          </w:p>
        </w:tc>
        <w:tc>
          <w:tcPr>
            <w:tcW w:w="3150" w:type="dxa"/>
            <w:gridSpan w:val="4"/>
            <w:shd w:val="clear" w:color="auto" w:fill="F2F2F2" w:themeFill="background1" w:themeFillShade="F2"/>
            <w:vAlign w:val="center"/>
          </w:tcPr>
          <w:p w14:paraId="30B29B5D" w14:textId="77777777" w:rsidR="005F28AF" w:rsidRPr="0014604E" w:rsidRDefault="005F28AF" w:rsidP="00F47516">
            <w:pPr>
              <w:jc w:val="center"/>
              <w:rPr>
                <w:b/>
                <w:bCs/>
                <w:sz w:val="22"/>
                <w:szCs w:val="22"/>
              </w:rPr>
            </w:pPr>
            <w:r w:rsidRPr="0014604E">
              <w:rPr>
                <w:b/>
                <w:bCs/>
                <w:sz w:val="22"/>
                <w:szCs w:val="22"/>
              </w:rPr>
              <w:t>Oral</w:t>
            </w:r>
          </w:p>
        </w:tc>
        <w:tc>
          <w:tcPr>
            <w:tcW w:w="3600" w:type="dxa"/>
            <w:gridSpan w:val="3"/>
            <w:shd w:val="clear" w:color="auto" w:fill="F2F2F2" w:themeFill="background1" w:themeFillShade="F2"/>
            <w:vAlign w:val="center"/>
          </w:tcPr>
          <w:p w14:paraId="4EFEFA81" w14:textId="3A0CF4AF" w:rsidR="005F28AF" w:rsidRPr="0014604E" w:rsidRDefault="005F28AF" w:rsidP="00F47516">
            <w:pPr>
              <w:jc w:val="center"/>
              <w:rPr>
                <w:b/>
                <w:bCs/>
                <w:sz w:val="22"/>
                <w:szCs w:val="22"/>
              </w:rPr>
            </w:pPr>
            <w:r w:rsidRPr="0014604E">
              <w:rPr>
                <w:b/>
                <w:bCs/>
                <w:sz w:val="22"/>
                <w:szCs w:val="22"/>
              </w:rPr>
              <w:t>Parenteral</w:t>
            </w:r>
            <w:r w:rsidR="000239FC">
              <w:rPr>
                <w:b/>
                <w:bCs/>
                <w:sz w:val="22"/>
                <w:szCs w:val="22"/>
              </w:rPr>
              <w:t xml:space="preserve">, </w:t>
            </w:r>
            <w:r w:rsidR="00765081">
              <w:rPr>
                <w:b/>
                <w:bCs/>
                <w:sz w:val="22"/>
                <w:szCs w:val="22"/>
              </w:rPr>
              <w:t>Dermal</w:t>
            </w:r>
            <w:r w:rsidRPr="0014604E">
              <w:rPr>
                <w:b/>
                <w:bCs/>
                <w:sz w:val="22"/>
                <w:szCs w:val="22"/>
              </w:rPr>
              <w:t>/Transdermal</w:t>
            </w:r>
            <w:r w:rsidR="009C39F1">
              <w:rPr>
                <w:b/>
                <w:bCs/>
                <w:sz w:val="22"/>
                <w:szCs w:val="22"/>
              </w:rPr>
              <w:t xml:space="preserve">, </w:t>
            </w:r>
            <w:r w:rsidR="009C39F1" w:rsidRPr="0014604E">
              <w:rPr>
                <w:b/>
                <w:bCs/>
                <w:sz w:val="22"/>
                <w:szCs w:val="22"/>
              </w:rPr>
              <w:t>Inhalation</w:t>
            </w:r>
          </w:p>
        </w:tc>
      </w:tr>
      <w:tr w:rsidR="00006F2C" w:rsidRPr="0014604E" w14:paraId="1ED90773" w14:textId="77777777" w:rsidTr="3963C00F">
        <w:trPr>
          <w:trHeight w:val="300"/>
        </w:trPr>
        <w:tc>
          <w:tcPr>
            <w:tcW w:w="2245" w:type="dxa"/>
            <w:gridSpan w:val="2"/>
            <w:vMerge/>
          </w:tcPr>
          <w:p w14:paraId="061ABA75" w14:textId="77777777" w:rsidR="005F28AF" w:rsidRPr="0014604E" w:rsidRDefault="005F28AF" w:rsidP="00F47516">
            <w:pPr>
              <w:rPr>
                <w:b/>
                <w:bCs/>
                <w:sz w:val="22"/>
                <w:szCs w:val="22"/>
              </w:rPr>
            </w:pPr>
          </w:p>
        </w:tc>
        <w:tc>
          <w:tcPr>
            <w:tcW w:w="1575" w:type="dxa"/>
            <w:gridSpan w:val="2"/>
            <w:shd w:val="clear" w:color="auto" w:fill="F2F2F2" w:themeFill="background1" w:themeFillShade="F2"/>
            <w:vAlign w:val="center"/>
          </w:tcPr>
          <w:p w14:paraId="4A6FC536" w14:textId="77777777" w:rsidR="005F28AF" w:rsidRPr="0014604E" w:rsidRDefault="005F28AF" w:rsidP="00F47516">
            <w:pPr>
              <w:jc w:val="center"/>
              <w:rPr>
                <w:b/>
                <w:bCs/>
                <w:sz w:val="22"/>
                <w:szCs w:val="22"/>
              </w:rPr>
            </w:pPr>
            <w:r w:rsidRPr="0014604E">
              <w:rPr>
                <w:b/>
                <w:bCs/>
                <w:sz w:val="22"/>
                <w:szCs w:val="22"/>
              </w:rPr>
              <w:t>TTC</w:t>
            </w:r>
          </w:p>
        </w:tc>
        <w:tc>
          <w:tcPr>
            <w:tcW w:w="1575" w:type="dxa"/>
            <w:gridSpan w:val="2"/>
            <w:shd w:val="clear" w:color="auto" w:fill="F2F2F2" w:themeFill="background1" w:themeFillShade="F2"/>
            <w:vAlign w:val="center"/>
          </w:tcPr>
          <w:p w14:paraId="3CED96FD" w14:textId="77777777" w:rsidR="005F28AF" w:rsidRPr="0014604E" w:rsidRDefault="005F28AF" w:rsidP="00F47516">
            <w:pPr>
              <w:jc w:val="center"/>
              <w:rPr>
                <w:b/>
                <w:bCs/>
                <w:sz w:val="22"/>
                <w:szCs w:val="22"/>
              </w:rPr>
            </w:pPr>
            <w:r w:rsidRPr="0014604E">
              <w:rPr>
                <w:b/>
                <w:bCs/>
                <w:sz w:val="22"/>
                <w:szCs w:val="22"/>
              </w:rPr>
              <w:t>QT</w:t>
            </w:r>
          </w:p>
        </w:tc>
        <w:tc>
          <w:tcPr>
            <w:tcW w:w="1800" w:type="dxa"/>
            <w:shd w:val="clear" w:color="auto" w:fill="F2F2F2" w:themeFill="background1" w:themeFillShade="F2"/>
            <w:vAlign w:val="center"/>
          </w:tcPr>
          <w:p w14:paraId="01C630BF" w14:textId="77777777" w:rsidR="005F28AF" w:rsidRPr="0014604E" w:rsidRDefault="005F28AF" w:rsidP="00F47516">
            <w:pPr>
              <w:jc w:val="center"/>
              <w:rPr>
                <w:b/>
                <w:bCs/>
                <w:sz w:val="22"/>
                <w:szCs w:val="22"/>
              </w:rPr>
            </w:pPr>
            <w:r w:rsidRPr="0014604E">
              <w:rPr>
                <w:b/>
                <w:bCs/>
                <w:sz w:val="22"/>
                <w:szCs w:val="22"/>
              </w:rPr>
              <w:t>TTC</w:t>
            </w:r>
          </w:p>
        </w:tc>
        <w:tc>
          <w:tcPr>
            <w:tcW w:w="1800" w:type="dxa"/>
            <w:gridSpan w:val="2"/>
            <w:shd w:val="clear" w:color="auto" w:fill="F2F2F2" w:themeFill="background1" w:themeFillShade="F2"/>
            <w:vAlign w:val="center"/>
          </w:tcPr>
          <w:p w14:paraId="2B48B1C8" w14:textId="77777777" w:rsidR="005F28AF" w:rsidRPr="0014604E" w:rsidRDefault="005F28AF" w:rsidP="00F47516">
            <w:pPr>
              <w:jc w:val="center"/>
              <w:rPr>
                <w:b/>
                <w:bCs/>
                <w:sz w:val="22"/>
                <w:szCs w:val="22"/>
              </w:rPr>
            </w:pPr>
            <w:r w:rsidRPr="0014604E">
              <w:rPr>
                <w:b/>
                <w:bCs/>
                <w:sz w:val="22"/>
                <w:szCs w:val="22"/>
              </w:rPr>
              <w:t>QT</w:t>
            </w:r>
          </w:p>
        </w:tc>
      </w:tr>
      <w:tr w:rsidR="00484BD9" w:rsidRPr="0014604E" w14:paraId="27369659" w14:textId="77777777" w:rsidTr="3963C00F">
        <w:trPr>
          <w:trHeight w:val="300"/>
        </w:trPr>
        <w:tc>
          <w:tcPr>
            <w:tcW w:w="2245" w:type="dxa"/>
            <w:gridSpan w:val="2"/>
          </w:tcPr>
          <w:p w14:paraId="06FF7D54" w14:textId="77777777" w:rsidR="00484BD9" w:rsidRPr="0014604E" w:rsidRDefault="00484BD9" w:rsidP="00F47516">
            <w:pPr>
              <w:rPr>
                <w:b/>
                <w:bCs/>
                <w:sz w:val="22"/>
                <w:szCs w:val="22"/>
              </w:rPr>
            </w:pPr>
            <w:r w:rsidRPr="0014604E">
              <w:rPr>
                <w:b/>
                <w:bCs/>
                <w:sz w:val="22"/>
                <w:szCs w:val="22"/>
              </w:rPr>
              <w:t>&gt; 10 years</w:t>
            </w:r>
          </w:p>
        </w:tc>
        <w:tc>
          <w:tcPr>
            <w:tcW w:w="1575" w:type="dxa"/>
            <w:gridSpan w:val="2"/>
            <w:vAlign w:val="center"/>
          </w:tcPr>
          <w:p w14:paraId="1277BBFC" w14:textId="77777777" w:rsidR="00484BD9" w:rsidRPr="0014604E" w:rsidRDefault="00484BD9" w:rsidP="00F47516">
            <w:pPr>
              <w:jc w:val="center"/>
              <w:rPr>
                <w:sz w:val="22"/>
                <w:szCs w:val="22"/>
              </w:rPr>
            </w:pPr>
            <w:r w:rsidRPr="0014604E">
              <w:rPr>
                <w:sz w:val="22"/>
                <w:szCs w:val="22"/>
              </w:rPr>
              <w:t xml:space="preserve">1.5 </w:t>
            </w:r>
            <w:r w:rsidRPr="0014604E">
              <w:rPr>
                <w:rFonts w:cstheme="minorHAnsi"/>
                <w:sz w:val="22"/>
                <w:szCs w:val="22"/>
              </w:rPr>
              <w:t>μ</w:t>
            </w:r>
            <w:r w:rsidRPr="0014604E">
              <w:rPr>
                <w:sz w:val="22"/>
                <w:szCs w:val="22"/>
              </w:rPr>
              <w:t>g/day</w:t>
            </w:r>
          </w:p>
        </w:tc>
        <w:tc>
          <w:tcPr>
            <w:tcW w:w="1575" w:type="dxa"/>
            <w:gridSpan w:val="2"/>
            <w:vMerge w:val="restart"/>
            <w:vAlign w:val="center"/>
          </w:tcPr>
          <w:p w14:paraId="16737C6E" w14:textId="77777777" w:rsidR="00484BD9" w:rsidRPr="0014604E" w:rsidRDefault="00484BD9" w:rsidP="00F47516">
            <w:pPr>
              <w:jc w:val="center"/>
              <w:rPr>
                <w:sz w:val="22"/>
                <w:szCs w:val="22"/>
              </w:rPr>
            </w:pPr>
            <w:r w:rsidRPr="0014604E">
              <w:rPr>
                <w:sz w:val="22"/>
                <w:szCs w:val="22"/>
              </w:rPr>
              <w:t>48 μg/day</w:t>
            </w:r>
          </w:p>
        </w:tc>
        <w:tc>
          <w:tcPr>
            <w:tcW w:w="1800" w:type="dxa"/>
            <w:vAlign w:val="center"/>
          </w:tcPr>
          <w:p w14:paraId="67793F2E" w14:textId="77777777" w:rsidR="00484BD9" w:rsidRPr="0014604E" w:rsidRDefault="00484BD9" w:rsidP="00F47516">
            <w:pPr>
              <w:jc w:val="center"/>
              <w:rPr>
                <w:sz w:val="22"/>
                <w:szCs w:val="22"/>
              </w:rPr>
            </w:pPr>
            <w:r w:rsidRPr="0014604E">
              <w:rPr>
                <w:sz w:val="22"/>
                <w:szCs w:val="22"/>
              </w:rPr>
              <w:t xml:space="preserve">1.5 </w:t>
            </w:r>
            <w:r w:rsidRPr="0014604E">
              <w:rPr>
                <w:rFonts w:cstheme="minorHAnsi"/>
                <w:sz w:val="22"/>
                <w:szCs w:val="22"/>
              </w:rPr>
              <w:t>μ</w:t>
            </w:r>
            <w:r w:rsidRPr="0014604E">
              <w:rPr>
                <w:sz w:val="22"/>
                <w:szCs w:val="22"/>
              </w:rPr>
              <w:t>g/day</w:t>
            </w:r>
          </w:p>
        </w:tc>
        <w:tc>
          <w:tcPr>
            <w:tcW w:w="1800" w:type="dxa"/>
            <w:gridSpan w:val="2"/>
            <w:vMerge w:val="restart"/>
            <w:vAlign w:val="center"/>
          </w:tcPr>
          <w:p w14:paraId="3179C2E5" w14:textId="77777777" w:rsidR="00484BD9" w:rsidRPr="0014604E" w:rsidRDefault="00484BD9" w:rsidP="00F47516">
            <w:pPr>
              <w:jc w:val="center"/>
              <w:rPr>
                <w:sz w:val="22"/>
                <w:szCs w:val="22"/>
              </w:rPr>
            </w:pPr>
            <w:r w:rsidRPr="0014604E">
              <w:rPr>
                <w:sz w:val="22"/>
                <w:szCs w:val="22"/>
              </w:rPr>
              <w:t>12 μg/day</w:t>
            </w:r>
          </w:p>
        </w:tc>
      </w:tr>
      <w:tr w:rsidR="00484BD9" w:rsidRPr="0014604E" w14:paraId="4AD0D808" w14:textId="77777777" w:rsidTr="3963C00F">
        <w:trPr>
          <w:trHeight w:val="300"/>
        </w:trPr>
        <w:tc>
          <w:tcPr>
            <w:tcW w:w="2245" w:type="dxa"/>
            <w:gridSpan w:val="2"/>
          </w:tcPr>
          <w:p w14:paraId="74328EEC" w14:textId="77777777" w:rsidR="00484BD9" w:rsidRPr="0014604E" w:rsidRDefault="00484BD9" w:rsidP="00F47516">
            <w:pPr>
              <w:rPr>
                <w:b/>
                <w:bCs/>
                <w:sz w:val="22"/>
                <w:szCs w:val="22"/>
              </w:rPr>
            </w:pPr>
            <w:r w:rsidRPr="0014604E">
              <w:rPr>
                <w:b/>
                <w:bCs/>
                <w:sz w:val="22"/>
                <w:szCs w:val="22"/>
              </w:rPr>
              <w:t>&gt; 1 to 10 Years </w:t>
            </w:r>
          </w:p>
        </w:tc>
        <w:tc>
          <w:tcPr>
            <w:tcW w:w="1575" w:type="dxa"/>
            <w:gridSpan w:val="2"/>
            <w:vAlign w:val="center"/>
          </w:tcPr>
          <w:p w14:paraId="52A1F596" w14:textId="77777777" w:rsidR="00484BD9" w:rsidRPr="0014604E" w:rsidRDefault="00484BD9" w:rsidP="00F47516">
            <w:pPr>
              <w:jc w:val="center"/>
              <w:rPr>
                <w:sz w:val="22"/>
                <w:szCs w:val="22"/>
              </w:rPr>
            </w:pPr>
            <w:r w:rsidRPr="0014604E">
              <w:rPr>
                <w:sz w:val="22"/>
                <w:szCs w:val="22"/>
              </w:rPr>
              <w:t>10 μg/day</w:t>
            </w:r>
          </w:p>
        </w:tc>
        <w:tc>
          <w:tcPr>
            <w:tcW w:w="1575" w:type="dxa"/>
            <w:gridSpan w:val="2"/>
            <w:vMerge/>
            <w:vAlign w:val="center"/>
          </w:tcPr>
          <w:p w14:paraId="2A574D17" w14:textId="0667392C" w:rsidR="00484BD9" w:rsidRPr="0014604E" w:rsidRDefault="00484BD9" w:rsidP="00F47516">
            <w:pPr>
              <w:jc w:val="center"/>
              <w:rPr>
                <w:sz w:val="22"/>
                <w:szCs w:val="22"/>
              </w:rPr>
            </w:pPr>
          </w:p>
        </w:tc>
        <w:tc>
          <w:tcPr>
            <w:tcW w:w="1800" w:type="dxa"/>
            <w:vAlign w:val="center"/>
          </w:tcPr>
          <w:p w14:paraId="72353DC6" w14:textId="77777777" w:rsidR="00484BD9" w:rsidRPr="0014604E" w:rsidRDefault="00484BD9" w:rsidP="00F47516">
            <w:pPr>
              <w:jc w:val="center"/>
              <w:rPr>
                <w:sz w:val="22"/>
                <w:szCs w:val="22"/>
              </w:rPr>
            </w:pPr>
            <w:r w:rsidRPr="0014604E">
              <w:rPr>
                <w:sz w:val="22"/>
                <w:szCs w:val="22"/>
              </w:rPr>
              <w:t>10 μg/day</w:t>
            </w:r>
          </w:p>
        </w:tc>
        <w:tc>
          <w:tcPr>
            <w:tcW w:w="1800" w:type="dxa"/>
            <w:gridSpan w:val="2"/>
            <w:vMerge/>
            <w:vAlign w:val="center"/>
          </w:tcPr>
          <w:p w14:paraId="7F8FCDA3" w14:textId="04132CC6" w:rsidR="00484BD9" w:rsidRPr="0014604E" w:rsidRDefault="00484BD9" w:rsidP="00F47516">
            <w:pPr>
              <w:jc w:val="center"/>
              <w:rPr>
                <w:sz w:val="22"/>
                <w:szCs w:val="22"/>
              </w:rPr>
            </w:pPr>
          </w:p>
        </w:tc>
      </w:tr>
      <w:tr w:rsidR="00484BD9" w:rsidRPr="0014604E" w14:paraId="27DD9DF2" w14:textId="77777777" w:rsidTr="3963C00F">
        <w:trPr>
          <w:trHeight w:val="300"/>
        </w:trPr>
        <w:tc>
          <w:tcPr>
            <w:tcW w:w="2245" w:type="dxa"/>
            <w:gridSpan w:val="2"/>
          </w:tcPr>
          <w:p w14:paraId="48FC8173" w14:textId="011B3A2C" w:rsidR="00484BD9" w:rsidRPr="0014604E" w:rsidRDefault="00484BD9" w:rsidP="00F47516">
            <w:pPr>
              <w:rPr>
                <w:b/>
                <w:bCs/>
                <w:sz w:val="22"/>
                <w:szCs w:val="22"/>
              </w:rPr>
            </w:pPr>
            <w:r w:rsidRPr="0014604E">
              <w:rPr>
                <w:b/>
                <w:bCs/>
                <w:sz w:val="22"/>
                <w:szCs w:val="22"/>
              </w:rPr>
              <w:t>&gt; 1 Month to 1 Year </w:t>
            </w:r>
          </w:p>
        </w:tc>
        <w:tc>
          <w:tcPr>
            <w:tcW w:w="1575" w:type="dxa"/>
            <w:gridSpan w:val="2"/>
            <w:vAlign w:val="center"/>
          </w:tcPr>
          <w:p w14:paraId="19FEEAC0" w14:textId="77777777" w:rsidR="00484BD9" w:rsidRPr="0014604E" w:rsidRDefault="00484BD9" w:rsidP="00F47516">
            <w:pPr>
              <w:jc w:val="center"/>
              <w:rPr>
                <w:sz w:val="22"/>
                <w:szCs w:val="22"/>
              </w:rPr>
            </w:pPr>
            <w:r w:rsidRPr="0014604E">
              <w:rPr>
                <w:sz w:val="22"/>
                <w:szCs w:val="22"/>
              </w:rPr>
              <w:t>20</w:t>
            </w:r>
            <w:r w:rsidRPr="0014604E">
              <w:rPr>
                <w:rFonts w:cstheme="minorHAnsi"/>
                <w:sz w:val="22"/>
                <w:szCs w:val="22"/>
              </w:rPr>
              <w:t xml:space="preserve"> </w:t>
            </w:r>
            <w:r w:rsidRPr="0014604E">
              <w:rPr>
                <w:sz w:val="22"/>
                <w:szCs w:val="22"/>
              </w:rPr>
              <w:t>μg/day</w:t>
            </w:r>
          </w:p>
        </w:tc>
        <w:tc>
          <w:tcPr>
            <w:tcW w:w="1575" w:type="dxa"/>
            <w:gridSpan w:val="2"/>
            <w:vMerge/>
            <w:vAlign w:val="center"/>
          </w:tcPr>
          <w:p w14:paraId="638096A6" w14:textId="5DA43EB8" w:rsidR="00484BD9" w:rsidRPr="0014604E" w:rsidRDefault="00484BD9" w:rsidP="00F47516">
            <w:pPr>
              <w:jc w:val="center"/>
              <w:rPr>
                <w:sz w:val="22"/>
                <w:szCs w:val="22"/>
              </w:rPr>
            </w:pPr>
          </w:p>
        </w:tc>
        <w:tc>
          <w:tcPr>
            <w:tcW w:w="1800" w:type="dxa"/>
            <w:vAlign w:val="center"/>
          </w:tcPr>
          <w:p w14:paraId="57204268" w14:textId="77777777" w:rsidR="00484BD9" w:rsidRPr="0014604E" w:rsidRDefault="00484BD9" w:rsidP="00F47516">
            <w:pPr>
              <w:jc w:val="center"/>
              <w:rPr>
                <w:sz w:val="22"/>
                <w:szCs w:val="22"/>
              </w:rPr>
            </w:pPr>
            <w:r w:rsidRPr="0014604E">
              <w:rPr>
                <w:sz w:val="22"/>
                <w:szCs w:val="22"/>
              </w:rPr>
              <w:t>20</w:t>
            </w:r>
            <w:r w:rsidRPr="0014604E">
              <w:rPr>
                <w:rFonts w:cstheme="minorHAnsi"/>
                <w:sz w:val="22"/>
                <w:szCs w:val="22"/>
              </w:rPr>
              <w:t xml:space="preserve"> </w:t>
            </w:r>
            <w:r w:rsidRPr="0014604E">
              <w:rPr>
                <w:sz w:val="22"/>
                <w:szCs w:val="22"/>
              </w:rPr>
              <w:t>μg/day</w:t>
            </w:r>
          </w:p>
        </w:tc>
        <w:tc>
          <w:tcPr>
            <w:tcW w:w="1800" w:type="dxa"/>
            <w:gridSpan w:val="2"/>
            <w:vMerge/>
            <w:vAlign w:val="center"/>
          </w:tcPr>
          <w:p w14:paraId="0BA08366" w14:textId="2AC534EE" w:rsidR="00484BD9" w:rsidRPr="0014604E" w:rsidRDefault="00484BD9" w:rsidP="00F47516">
            <w:pPr>
              <w:jc w:val="center"/>
              <w:rPr>
                <w:sz w:val="22"/>
                <w:szCs w:val="22"/>
              </w:rPr>
            </w:pPr>
          </w:p>
        </w:tc>
      </w:tr>
      <w:tr w:rsidR="00006F2C" w:rsidRPr="0014604E" w14:paraId="724705BC" w14:textId="77777777" w:rsidTr="3963C00F">
        <w:trPr>
          <w:trHeight w:val="300"/>
        </w:trPr>
        <w:tc>
          <w:tcPr>
            <w:tcW w:w="2245" w:type="dxa"/>
            <w:gridSpan w:val="2"/>
          </w:tcPr>
          <w:p w14:paraId="7C012819" w14:textId="3B3A1E2B" w:rsidR="005F28AF" w:rsidRPr="0014604E" w:rsidRDefault="005F28AF" w:rsidP="00F47516">
            <w:pPr>
              <w:rPr>
                <w:b/>
                <w:bCs/>
                <w:sz w:val="22"/>
                <w:szCs w:val="22"/>
              </w:rPr>
            </w:pPr>
            <w:r w:rsidRPr="0014604E">
              <w:rPr>
                <w:b/>
                <w:bCs/>
                <w:sz w:val="22"/>
                <w:szCs w:val="22"/>
              </w:rPr>
              <w:t xml:space="preserve">≤ 1 </w:t>
            </w:r>
            <w:r w:rsidR="005214C6">
              <w:rPr>
                <w:b/>
                <w:bCs/>
                <w:sz w:val="22"/>
                <w:szCs w:val="22"/>
              </w:rPr>
              <w:t>M</w:t>
            </w:r>
            <w:r w:rsidRPr="0014604E">
              <w:rPr>
                <w:b/>
                <w:bCs/>
                <w:sz w:val="22"/>
                <w:szCs w:val="22"/>
              </w:rPr>
              <w:t>onth </w:t>
            </w:r>
          </w:p>
        </w:tc>
        <w:tc>
          <w:tcPr>
            <w:tcW w:w="1575" w:type="dxa"/>
            <w:gridSpan w:val="2"/>
            <w:vAlign w:val="center"/>
          </w:tcPr>
          <w:p w14:paraId="536C4975" w14:textId="77777777" w:rsidR="005F28AF" w:rsidRPr="0014604E" w:rsidRDefault="005F28AF" w:rsidP="00F47516">
            <w:pPr>
              <w:jc w:val="center"/>
              <w:rPr>
                <w:sz w:val="22"/>
                <w:szCs w:val="22"/>
              </w:rPr>
            </w:pPr>
            <w:r w:rsidRPr="0014604E">
              <w:rPr>
                <w:sz w:val="22"/>
                <w:szCs w:val="22"/>
              </w:rPr>
              <w:t>120</w:t>
            </w:r>
            <w:r w:rsidRPr="0014604E">
              <w:rPr>
                <w:rFonts w:cstheme="minorHAnsi"/>
                <w:sz w:val="22"/>
                <w:szCs w:val="22"/>
              </w:rPr>
              <w:t xml:space="preserve"> </w:t>
            </w:r>
            <w:r w:rsidRPr="0014604E">
              <w:rPr>
                <w:sz w:val="22"/>
                <w:szCs w:val="22"/>
              </w:rPr>
              <w:t>μg/day</w:t>
            </w:r>
          </w:p>
        </w:tc>
        <w:tc>
          <w:tcPr>
            <w:tcW w:w="1575" w:type="dxa"/>
            <w:gridSpan w:val="2"/>
            <w:vAlign w:val="center"/>
          </w:tcPr>
          <w:p w14:paraId="7C4AE970" w14:textId="77777777" w:rsidR="005F28AF" w:rsidRPr="0014604E" w:rsidRDefault="005F28AF" w:rsidP="00F47516">
            <w:pPr>
              <w:jc w:val="center"/>
              <w:rPr>
                <w:sz w:val="22"/>
                <w:szCs w:val="22"/>
              </w:rPr>
            </w:pPr>
            <w:r w:rsidRPr="0014604E">
              <w:rPr>
                <w:sz w:val="22"/>
                <w:szCs w:val="22"/>
              </w:rPr>
              <w:t>136 μg/day</w:t>
            </w:r>
          </w:p>
        </w:tc>
        <w:tc>
          <w:tcPr>
            <w:tcW w:w="1800" w:type="dxa"/>
            <w:vAlign w:val="center"/>
          </w:tcPr>
          <w:p w14:paraId="60EA6905" w14:textId="77777777" w:rsidR="005F28AF" w:rsidRPr="0014604E" w:rsidRDefault="005F28AF" w:rsidP="00F47516">
            <w:pPr>
              <w:jc w:val="center"/>
              <w:rPr>
                <w:sz w:val="22"/>
                <w:szCs w:val="22"/>
              </w:rPr>
            </w:pPr>
            <w:r w:rsidRPr="0014604E">
              <w:rPr>
                <w:sz w:val="22"/>
                <w:szCs w:val="22"/>
              </w:rPr>
              <w:t>120</w:t>
            </w:r>
            <w:r w:rsidRPr="0014604E">
              <w:rPr>
                <w:rFonts w:cstheme="minorHAnsi"/>
                <w:sz w:val="22"/>
                <w:szCs w:val="22"/>
              </w:rPr>
              <w:t xml:space="preserve"> </w:t>
            </w:r>
            <w:r w:rsidRPr="0014604E">
              <w:rPr>
                <w:sz w:val="22"/>
                <w:szCs w:val="22"/>
              </w:rPr>
              <w:t>μg/day</w:t>
            </w:r>
          </w:p>
        </w:tc>
        <w:tc>
          <w:tcPr>
            <w:tcW w:w="1800" w:type="dxa"/>
            <w:gridSpan w:val="2"/>
            <w:vAlign w:val="center"/>
          </w:tcPr>
          <w:p w14:paraId="1BCBBE0F" w14:textId="77777777" w:rsidR="005F28AF" w:rsidRPr="0014604E" w:rsidRDefault="005F28AF" w:rsidP="00F47516">
            <w:pPr>
              <w:jc w:val="center"/>
              <w:rPr>
                <w:sz w:val="22"/>
                <w:szCs w:val="22"/>
              </w:rPr>
            </w:pPr>
            <w:r w:rsidRPr="0014604E">
              <w:rPr>
                <w:sz w:val="22"/>
                <w:szCs w:val="22"/>
              </w:rPr>
              <w:t>26 μg/day</w:t>
            </w:r>
          </w:p>
        </w:tc>
      </w:tr>
      <w:tr w:rsidR="005F28AF" w:rsidRPr="0014604E" w14:paraId="7830B355" w14:textId="77777777" w:rsidTr="3963C00F">
        <w:trPr>
          <w:trHeight w:val="300"/>
        </w:trPr>
        <w:tc>
          <w:tcPr>
            <w:tcW w:w="8995" w:type="dxa"/>
            <w:gridSpan w:val="9"/>
            <w:shd w:val="clear" w:color="auto" w:fill="BFBFBF" w:themeFill="background1" w:themeFillShade="BF"/>
            <w:vAlign w:val="center"/>
          </w:tcPr>
          <w:p w14:paraId="29B3F7A8" w14:textId="77777777" w:rsidR="005F28AF" w:rsidRPr="0014604E" w:rsidRDefault="005F28AF" w:rsidP="00F47516">
            <w:pPr>
              <w:jc w:val="center"/>
              <w:rPr>
                <w:b/>
                <w:bCs/>
                <w:sz w:val="22"/>
                <w:szCs w:val="22"/>
              </w:rPr>
            </w:pPr>
            <w:r w:rsidRPr="0014604E">
              <w:rPr>
                <w:b/>
                <w:bCs/>
                <w:sz w:val="22"/>
                <w:szCs w:val="22"/>
              </w:rPr>
              <w:t>Local Toxicity Thresholds</w:t>
            </w:r>
          </w:p>
        </w:tc>
      </w:tr>
      <w:tr w:rsidR="00006F2C" w:rsidRPr="0014604E" w14:paraId="3088D956" w14:textId="77777777" w:rsidTr="3963C00F">
        <w:trPr>
          <w:trHeight w:val="300"/>
        </w:trPr>
        <w:tc>
          <w:tcPr>
            <w:tcW w:w="1435" w:type="dxa"/>
            <w:shd w:val="clear" w:color="auto" w:fill="F2F2F2" w:themeFill="background1" w:themeFillShade="F2"/>
            <w:vAlign w:val="center"/>
          </w:tcPr>
          <w:p w14:paraId="7F5CB2C5" w14:textId="77777777" w:rsidR="005F28AF" w:rsidRPr="0014604E" w:rsidRDefault="005F28AF" w:rsidP="00F47516">
            <w:pPr>
              <w:jc w:val="center"/>
              <w:rPr>
                <w:b/>
                <w:bCs/>
                <w:sz w:val="22"/>
                <w:szCs w:val="22"/>
              </w:rPr>
            </w:pPr>
            <w:r w:rsidRPr="0014604E">
              <w:rPr>
                <w:b/>
                <w:bCs/>
                <w:sz w:val="22"/>
                <w:szCs w:val="22"/>
              </w:rPr>
              <w:t>Topical Ophthalmic</w:t>
            </w:r>
          </w:p>
        </w:tc>
        <w:tc>
          <w:tcPr>
            <w:tcW w:w="1710" w:type="dxa"/>
            <w:gridSpan w:val="2"/>
            <w:shd w:val="clear" w:color="auto" w:fill="F2F2F2" w:themeFill="background1" w:themeFillShade="F2"/>
            <w:vAlign w:val="center"/>
          </w:tcPr>
          <w:p w14:paraId="2243292D" w14:textId="0C93615C" w:rsidR="005F28AF" w:rsidRPr="0014604E" w:rsidRDefault="005F28AF" w:rsidP="00F47516">
            <w:pPr>
              <w:jc w:val="center"/>
              <w:rPr>
                <w:b/>
                <w:bCs/>
                <w:sz w:val="22"/>
                <w:szCs w:val="22"/>
              </w:rPr>
            </w:pPr>
            <w:r w:rsidRPr="0014604E">
              <w:rPr>
                <w:b/>
                <w:bCs/>
                <w:sz w:val="22"/>
                <w:szCs w:val="22"/>
              </w:rPr>
              <w:t>Subcutaneous and Intradermal</w:t>
            </w:r>
          </w:p>
        </w:tc>
        <w:tc>
          <w:tcPr>
            <w:tcW w:w="1710" w:type="dxa"/>
            <w:gridSpan w:val="2"/>
            <w:shd w:val="clear" w:color="auto" w:fill="F2F2F2" w:themeFill="background1" w:themeFillShade="F2"/>
            <w:vAlign w:val="center"/>
          </w:tcPr>
          <w:p w14:paraId="058F75B3" w14:textId="6F479636" w:rsidR="005F28AF" w:rsidRPr="0014604E" w:rsidRDefault="005E5B77" w:rsidP="00F47516">
            <w:pPr>
              <w:jc w:val="center"/>
              <w:rPr>
                <w:b/>
                <w:bCs/>
                <w:sz w:val="22"/>
                <w:szCs w:val="22"/>
              </w:rPr>
            </w:pPr>
            <w:r>
              <w:rPr>
                <w:b/>
                <w:bCs/>
                <w:sz w:val="22"/>
                <w:szCs w:val="22"/>
              </w:rPr>
              <w:t>Dermal</w:t>
            </w:r>
            <w:r w:rsidR="005F28AF" w:rsidRPr="0014604E">
              <w:rPr>
                <w:b/>
                <w:bCs/>
                <w:sz w:val="22"/>
                <w:szCs w:val="22"/>
              </w:rPr>
              <w:t xml:space="preserve"> and Transdermal</w:t>
            </w:r>
          </w:p>
        </w:tc>
        <w:tc>
          <w:tcPr>
            <w:tcW w:w="2790" w:type="dxa"/>
            <w:gridSpan w:val="3"/>
            <w:shd w:val="clear" w:color="auto" w:fill="F2F2F2" w:themeFill="background1" w:themeFillShade="F2"/>
            <w:vAlign w:val="center"/>
          </w:tcPr>
          <w:p w14:paraId="6BA2F90A" w14:textId="77777777" w:rsidR="005F28AF" w:rsidRPr="0014604E" w:rsidRDefault="005F28AF" w:rsidP="00F47516">
            <w:pPr>
              <w:jc w:val="center"/>
              <w:rPr>
                <w:b/>
                <w:bCs/>
                <w:sz w:val="22"/>
                <w:szCs w:val="22"/>
              </w:rPr>
            </w:pPr>
            <w:r w:rsidRPr="0014604E">
              <w:rPr>
                <w:b/>
                <w:bCs/>
                <w:sz w:val="22"/>
                <w:szCs w:val="22"/>
              </w:rPr>
              <w:t>Intracerebral, Intrathecal, Epidural and Intraocular</w:t>
            </w:r>
          </w:p>
        </w:tc>
        <w:tc>
          <w:tcPr>
            <w:tcW w:w="1350" w:type="dxa"/>
            <w:shd w:val="clear" w:color="auto" w:fill="F2F2F2" w:themeFill="background1" w:themeFillShade="F2"/>
            <w:vAlign w:val="center"/>
          </w:tcPr>
          <w:p w14:paraId="6638EA7E" w14:textId="77777777" w:rsidR="005F28AF" w:rsidRPr="0014604E" w:rsidRDefault="005F28AF" w:rsidP="00F47516">
            <w:pPr>
              <w:jc w:val="center"/>
              <w:rPr>
                <w:b/>
                <w:bCs/>
                <w:sz w:val="22"/>
                <w:szCs w:val="22"/>
              </w:rPr>
            </w:pPr>
            <w:r w:rsidRPr="0014604E">
              <w:rPr>
                <w:b/>
                <w:bCs/>
                <w:sz w:val="22"/>
                <w:szCs w:val="22"/>
              </w:rPr>
              <w:t>Inhalation</w:t>
            </w:r>
          </w:p>
        </w:tc>
      </w:tr>
      <w:tr w:rsidR="00006F2C" w:rsidRPr="0014604E" w14:paraId="05CBD5BB" w14:textId="77777777" w:rsidTr="3963C00F">
        <w:trPr>
          <w:trHeight w:val="300"/>
        </w:trPr>
        <w:tc>
          <w:tcPr>
            <w:tcW w:w="1435" w:type="dxa"/>
            <w:vAlign w:val="center"/>
          </w:tcPr>
          <w:p w14:paraId="0D0691DC" w14:textId="77777777" w:rsidR="005F28AF" w:rsidRPr="0014604E" w:rsidRDefault="005F28AF" w:rsidP="00F47516">
            <w:pPr>
              <w:jc w:val="center"/>
              <w:rPr>
                <w:sz w:val="22"/>
                <w:szCs w:val="22"/>
              </w:rPr>
            </w:pPr>
            <w:r w:rsidRPr="0014604E">
              <w:rPr>
                <w:sz w:val="22"/>
                <w:szCs w:val="22"/>
              </w:rPr>
              <w:t>20 ppm</w:t>
            </w:r>
          </w:p>
        </w:tc>
        <w:tc>
          <w:tcPr>
            <w:tcW w:w="1710" w:type="dxa"/>
            <w:gridSpan w:val="2"/>
            <w:vAlign w:val="center"/>
          </w:tcPr>
          <w:p w14:paraId="501661B0" w14:textId="77777777" w:rsidR="005F28AF" w:rsidRPr="0014604E" w:rsidRDefault="005F28AF" w:rsidP="00F47516">
            <w:pPr>
              <w:jc w:val="center"/>
              <w:rPr>
                <w:sz w:val="22"/>
                <w:szCs w:val="22"/>
              </w:rPr>
            </w:pPr>
            <w:r w:rsidRPr="0014604E">
              <w:rPr>
                <w:sz w:val="22"/>
                <w:szCs w:val="22"/>
              </w:rPr>
              <w:t>50 ppm</w:t>
            </w:r>
          </w:p>
        </w:tc>
        <w:tc>
          <w:tcPr>
            <w:tcW w:w="1710" w:type="dxa"/>
            <w:gridSpan w:val="2"/>
            <w:vAlign w:val="center"/>
          </w:tcPr>
          <w:p w14:paraId="05AE82B2" w14:textId="77777777" w:rsidR="005F28AF" w:rsidRPr="0014604E" w:rsidRDefault="005F28AF" w:rsidP="00F47516">
            <w:pPr>
              <w:jc w:val="center"/>
              <w:rPr>
                <w:sz w:val="22"/>
                <w:szCs w:val="22"/>
              </w:rPr>
            </w:pPr>
            <w:r w:rsidRPr="0014604E">
              <w:rPr>
                <w:sz w:val="22"/>
                <w:szCs w:val="22"/>
              </w:rPr>
              <w:t>500 ppm</w:t>
            </w:r>
          </w:p>
        </w:tc>
        <w:tc>
          <w:tcPr>
            <w:tcW w:w="2790" w:type="dxa"/>
            <w:gridSpan w:val="3"/>
            <w:vAlign w:val="center"/>
          </w:tcPr>
          <w:p w14:paraId="5742834B" w14:textId="77777777" w:rsidR="003817FB" w:rsidRDefault="005F28AF" w:rsidP="00F47516">
            <w:pPr>
              <w:jc w:val="center"/>
              <w:rPr>
                <w:sz w:val="22"/>
                <w:szCs w:val="22"/>
              </w:rPr>
            </w:pPr>
            <w:r w:rsidRPr="0014604E">
              <w:rPr>
                <w:sz w:val="22"/>
                <w:szCs w:val="22"/>
              </w:rPr>
              <w:t>Compound-specific evaluation</w:t>
            </w:r>
          </w:p>
          <w:p w14:paraId="12D88D68" w14:textId="454BFEA7" w:rsidR="005F28AF" w:rsidRPr="0014604E" w:rsidRDefault="00203000" w:rsidP="00F47516">
            <w:pPr>
              <w:jc w:val="center"/>
              <w:rPr>
                <w:sz w:val="22"/>
                <w:szCs w:val="22"/>
              </w:rPr>
            </w:pPr>
            <w:r>
              <w:rPr>
                <w:sz w:val="22"/>
                <w:szCs w:val="22"/>
              </w:rPr>
              <w:t>(see Section 6.4)</w:t>
            </w:r>
          </w:p>
        </w:tc>
        <w:tc>
          <w:tcPr>
            <w:tcW w:w="1350" w:type="dxa"/>
            <w:vAlign w:val="center"/>
          </w:tcPr>
          <w:p w14:paraId="18B57EBD" w14:textId="285A8BC8" w:rsidR="005F28AF" w:rsidRPr="0014604E" w:rsidRDefault="00244C6B" w:rsidP="00F47516">
            <w:pPr>
              <w:jc w:val="center"/>
              <w:rPr>
                <w:sz w:val="22"/>
                <w:szCs w:val="22"/>
              </w:rPr>
            </w:pPr>
            <w:r>
              <w:rPr>
                <w:sz w:val="22"/>
                <w:szCs w:val="22"/>
              </w:rPr>
              <w:t>5 µg/day</w:t>
            </w:r>
          </w:p>
        </w:tc>
      </w:tr>
    </w:tbl>
    <w:p w14:paraId="13320B3F" w14:textId="6AB7361B" w:rsidR="00A523EA" w:rsidRPr="00C92051" w:rsidRDefault="00ED7E71" w:rsidP="0014604E">
      <w:pPr>
        <w:pStyle w:val="ICHTextOnly"/>
        <w:rPr>
          <w:rFonts w:cs="Arial"/>
          <w:sz w:val="20"/>
          <w:szCs w:val="20"/>
        </w:rPr>
      </w:pPr>
      <w:r>
        <w:t>QT values for inhalation and dermal/transdermal routes have been established based upon parenteral QT in lieu of available PDE values.</w:t>
      </w:r>
      <w:r w:rsidR="00F95822">
        <w:rPr>
          <w:rFonts w:cs="Arial"/>
          <w:sz w:val="20"/>
          <w:szCs w:val="20"/>
        </w:rPr>
        <w:tab/>
      </w:r>
    </w:p>
    <w:p w14:paraId="746E52D7" w14:textId="5F7E4250" w:rsidR="000F4409" w:rsidRPr="00EB5E7E" w:rsidRDefault="00C714AB" w:rsidP="000F4409">
      <w:pPr>
        <w:pStyle w:val="Heading2"/>
      </w:pPr>
      <w:bookmarkStart w:id="27" w:name="_Toc201662519"/>
      <w:r w:rsidRPr="00EB5E7E">
        <w:t>Leachables Classification</w:t>
      </w:r>
      <w:bookmarkEnd w:id="27"/>
    </w:p>
    <w:p w14:paraId="655962F6" w14:textId="5C2AF2DE" w:rsidR="00A101D1" w:rsidRPr="00622D3E" w:rsidRDefault="008C52FF" w:rsidP="00C05618">
      <w:pPr>
        <w:pStyle w:val="ICHTextOnly"/>
        <w:spacing w:after="240"/>
        <w:rPr>
          <w:rFonts w:cs="Arial"/>
        </w:rPr>
      </w:pPr>
      <w:r w:rsidRPr="695951DC">
        <w:rPr>
          <w:rStyle w:val="ui-provider"/>
        </w:rPr>
        <w:t xml:space="preserve">Potential leachables from various materials encompass a large variety of chemicals, and thus toxicological characteristics. To provide a pragmatic, risk-based approach to leachables </w:t>
      </w:r>
      <w:r w:rsidR="00131696">
        <w:rPr>
          <w:rStyle w:val="ui-provider"/>
        </w:rPr>
        <w:t>safety</w:t>
      </w:r>
      <w:r w:rsidR="00DD186A">
        <w:rPr>
          <w:rStyle w:val="ui-provider"/>
        </w:rPr>
        <w:t xml:space="preserve"> </w:t>
      </w:r>
      <w:r w:rsidRPr="695951DC">
        <w:rPr>
          <w:rStyle w:val="ui-provider"/>
        </w:rPr>
        <w:t xml:space="preserve">assessment, </w:t>
      </w:r>
      <w:r w:rsidRPr="695951DC">
        <w:rPr>
          <w:rFonts w:cs="Arial"/>
        </w:rPr>
        <w:t xml:space="preserve">certain compounds </w:t>
      </w:r>
      <w:r w:rsidR="002C07CD" w:rsidRPr="002C07CD">
        <w:rPr>
          <w:rFonts w:cs="Arial"/>
        </w:rPr>
        <w:t xml:space="preserve">need to be controlled at levels that are lower than the established </w:t>
      </w:r>
      <w:r w:rsidR="00816344">
        <w:rPr>
          <w:rFonts w:cs="Arial"/>
        </w:rPr>
        <w:t>qualification</w:t>
      </w:r>
      <w:r w:rsidR="002C07CD" w:rsidRPr="002C07CD">
        <w:rPr>
          <w:rFonts w:cs="Arial"/>
        </w:rPr>
        <w:t xml:space="preserve"> threshold due to their potential for high</w:t>
      </w:r>
      <w:r w:rsidR="00943E4E">
        <w:rPr>
          <w:rFonts w:cs="Arial"/>
        </w:rPr>
        <w:t>ly potent</w:t>
      </w:r>
      <w:r w:rsidR="002C07CD" w:rsidRPr="002C07CD">
        <w:rPr>
          <w:rFonts w:cs="Arial"/>
        </w:rPr>
        <w:t xml:space="preserve"> toxicity</w:t>
      </w:r>
      <w:r w:rsidRPr="695951DC">
        <w:rPr>
          <w:rFonts w:cs="Arial"/>
        </w:rPr>
        <w:t xml:space="preserve">. Such chemicals are categorized as Class 1 leachables in the current guideline. For mutagenic carcinogens, the Cohort of Concern as defined in ICH M7 and ICH M7 Class 1 impurities with an AI below 1.5 µg/day </w:t>
      </w:r>
      <w:r w:rsidR="00283BC8">
        <w:rPr>
          <w:rFonts w:cs="Arial"/>
        </w:rPr>
        <w:t>are</w:t>
      </w:r>
      <w:r w:rsidRPr="695951DC">
        <w:rPr>
          <w:rFonts w:cs="Arial"/>
        </w:rPr>
        <w:t xml:space="preserve"> considered Class 1 leachables. Similarly, there are some compounds, such as bisphenol A (BPA) or </w:t>
      </w:r>
      <w:r w:rsidRPr="695951DC">
        <w:rPr>
          <w:rStyle w:val="ui-provider"/>
        </w:rPr>
        <w:t xml:space="preserve">benzo(a)pyrene, </w:t>
      </w:r>
      <w:r w:rsidRPr="695951DC">
        <w:rPr>
          <w:rFonts w:cs="Arial"/>
        </w:rPr>
        <w:t xml:space="preserve">that may have potent non-mutagenic toxicity concerns that </w:t>
      </w:r>
      <w:r w:rsidRPr="695951DC">
        <w:rPr>
          <w:rStyle w:val="normaltextrun"/>
          <w:rFonts w:cs="Arial"/>
          <w:shd w:val="clear" w:color="auto" w:fill="FFFFFF"/>
        </w:rPr>
        <w:t xml:space="preserve">may theoretically be associated with a greater than negligible patient safety risk </w:t>
      </w:r>
      <w:r w:rsidRPr="695951DC">
        <w:rPr>
          <w:rFonts w:cs="Arial"/>
        </w:rPr>
        <w:t xml:space="preserve">at or below the drug product QT value. For such Class 1 leachables, it is considered most practical to avoid the use of materials which may leach such compounds (see Section </w:t>
      </w:r>
      <w:r>
        <w:rPr>
          <w:rFonts w:cs="Arial"/>
        </w:rPr>
        <w:t>5</w:t>
      </w:r>
      <w:r w:rsidRPr="695951DC">
        <w:rPr>
          <w:rFonts w:cs="Arial"/>
        </w:rPr>
        <w:t xml:space="preserve">). However, if the use of such materials or components is considered unavoidable, a compound-specific safety limit for these substances should be used. </w:t>
      </w:r>
    </w:p>
    <w:p w14:paraId="5AFE38E1" w14:textId="7816DF54" w:rsidR="008C52FF" w:rsidRPr="00622D3E" w:rsidRDefault="008C52FF" w:rsidP="008C52FF">
      <w:pPr>
        <w:pStyle w:val="ICHTextOnly"/>
        <w:rPr>
          <w:rStyle w:val="ui-provider"/>
        </w:rPr>
      </w:pPr>
      <w:r w:rsidRPr="00843639">
        <w:rPr>
          <w:lang w:val="en"/>
        </w:rPr>
        <w:t xml:space="preserve">Class 3 leachables are compounds </w:t>
      </w:r>
      <w:r w:rsidR="000B0CB2">
        <w:rPr>
          <w:lang w:val="en"/>
        </w:rPr>
        <w:t>e</w:t>
      </w:r>
      <w:r w:rsidR="000B0CB2" w:rsidRPr="00843639">
        <w:rPr>
          <w:lang w:val="en"/>
        </w:rPr>
        <w:t>stablished</w:t>
      </w:r>
      <w:r w:rsidRPr="00843639">
        <w:rPr>
          <w:lang w:val="en"/>
        </w:rPr>
        <w:t xml:space="preserve"> to have relatively low potency for systemic toxicity with derived chronic parenteral PDE</w:t>
      </w:r>
      <w:r w:rsidR="00834D87">
        <w:rPr>
          <w:lang w:val="en"/>
        </w:rPr>
        <w:t>s</w:t>
      </w:r>
      <w:r w:rsidRPr="00843639">
        <w:rPr>
          <w:lang w:val="en"/>
        </w:rPr>
        <w:t xml:space="preserve"> in excess of the levels at which leachables are typically observed (i.e., PDE ≥ 1 mg/day using the methodology described in Appendix 5). Class 3 leachables would not require further safety qualification if observed at daily exposure levels &lt; 1 mg/day.</w:t>
      </w:r>
      <w:r w:rsidRPr="695951DC" w:rsidDel="00B271F8">
        <w:rPr>
          <w:rStyle w:val="ui-provider"/>
        </w:rPr>
        <w:t xml:space="preserve"> </w:t>
      </w:r>
      <w:r>
        <w:rPr>
          <w:rStyle w:val="ui-provider"/>
        </w:rPr>
        <w:t>I</w:t>
      </w:r>
      <w:r w:rsidRPr="695951DC">
        <w:rPr>
          <w:rStyle w:val="ui-provider"/>
        </w:rPr>
        <w:t xml:space="preserve">n between these two classes are compounds with a toxicity potential that </w:t>
      </w:r>
      <w:r w:rsidRPr="695951DC">
        <w:rPr>
          <w:rStyle w:val="ui-provider"/>
        </w:rPr>
        <w:lastRenderedPageBreak/>
        <w:t xml:space="preserve">may be relevant at levels commonly encountered for leachables (Class 2 leachables). Appendix </w:t>
      </w:r>
      <w:r>
        <w:rPr>
          <w:rStyle w:val="ui-provider"/>
        </w:rPr>
        <w:t>4</w:t>
      </w:r>
      <w:r w:rsidRPr="695951DC">
        <w:rPr>
          <w:rStyle w:val="ui-provider"/>
        </w:rPr>
        <w:t xml:space="preserve"> provides an overview of these three leachable classes. </w:t>
      </w:r>
    </w:p>
    <w:p w14:paraId="057BEE47" w14:textId="585F9A33" w:rsidR="008C52FF" w:rsidRDefault="005529D8" w:rsidP="005529D8">
      <w:pPr>
        <w:pStyle w:val="Heading2"/>
      </w:pPr>
      <w:bookmarkStart w:id="28" w:name="_Toc201662520"/>
      <w:r>
        <w:t>Safety Assessment Process</w:t>
      </w:r>
      <w:bookmarkEnd w:id="28"/>
    </w:p>
    <w:p w14:paraId="6BCA43C7" w14:textId="080AB51F" w:rsidR="002D50C2" w:rsidRPr="00622D3E" w:rsidRDefault="13FEFCB2" w:rsidP="002D50C2">
      <w:pPr>
        <w:pStyle w:val="ICHTextOnly"/>
      </w:pPr>
      <w:r w:rsidRPr="695951DC">
        <w:t xml:space="preserve">Organic </w:t>
      </w:r>
      <w:r w:rsidR="007226D9">
        <w:t>leachables</w:t>
      </w:r>
      <w:r w:rsidRPr="695951DC">
        <w:t xml:space="preserve"> exceeding the AET should be identified, quantified, and reported for </w:t>
      </w:r>
      <w:r w:rsidR="00062549">
        <w:t>safety</w:t>
      </w:r>
      <w:r w:rsidR="00062549" w:rsidRPr="695951DC" w:rsidDel="00DD186A">
        <w:t xml:space="preserve"> </w:t>
      </w:r>
      <w:r w:rsidRPr="695951DC" w:rsidDel="00DD186A">
        <w:t>risk</w:t>
      </w:r>
      <w:r w:rsidRPr="695951DC">
        <w:t xml:space="preserve"> assessment. </w:t>
      </w:r>
      <w:r w:rsidR="00165670" w:rsidRPr="006B2DAE">
        <w:rPr>
          <w:lang w:val="en-US"/>
        </w:rPr>
        <w:t xml:space="preserve">Acceptability of partial or incomplete elucidation of the compound structure </w:t>
      </w:r>
      <w:r w:rsidR="00577D58">
        <w:rPr>
          <w:lang w:val="en-US"/>
        </w:rPr>
        <w:t>should</w:t>
      </w:r>
      <w:r w:rsidR="00165670" w:rsidRPr="006B2DAE">
        <w:rPr>
          <w:lang w:val="en-US"/>
        </w:rPr>
        <w:t xml:space="preserve"> be justified from an analytical perspective. If toxicologically justified, partial elucidation providing tentative structures may inform a </w:t>
      </w:r>
      <w:r w:rsidR="00165670">
        <w:rPr>
          <w:lang w:val="en-US"/>
        </w:rPr>
        <w:t>safety</w:t>
      </w:r>
      <w:r w:rsidR="00165670" w:rsidRPr="006B2DAE">
        <w:rPr>
          <w:lang w:val="en-US"/>
        </w:rPr>
        <w:t xml:space="preserve"> assessment in certain cases.</w:t>
      </w:r>
      <w:r w:rsidR="00274557">
        <w:rPr>
          <w:lang w:val="en-US"/>
        </w:rPr>
        <w:t xml:space="preserve"> </w:t>
      </w:r>
      <w:r w:rsidRPr="695951DC">
        <w:t xml:space="preserve">The general process for </w:t>
      </w:r>
      <w:r w:rsidR="006B2DAE">
        <w:t>safety</w:t>
      </w:r>
      <w:r w:rsidR="006B2DAE" w:rsidRPr="695951DC" w:rsidDel="00DD186A">
        <w:t xml:space="preserve"> </w:t>
      </w:r>
      <w:r w:rsidRPr="695951DC">
        <w:t xml:space="preserve">assessment of leachables is presented in a flowchart (Figure </w:t>
      </w:r>
      <w:r>
        <w:t>3</w:t>
      </w:r>
      <w:r w:rsidRPr="695951DC">
        <w:t xml:space="preserve">) and includes an </w:t>
      </w:r>
      <w:r w:rsidRPr="695951DC" w:rsidDel="00DD186A">
        <w:t xml:space="preserve">assessment </w:t>
      </w:r>
      <w:r w:rsidRPr="695951DC">
        <w:t xml:space="preserve">of both mutagenicity and general toxicity concerns.  </w:t>
      </w:r>
    </w:p>
    <w:p w14:paraId="499727EC" w14:textId="5D21BAD9" w:rsidR="002D50C2" w:rsidRDefault="002D50C2" w:rsidP="002D50C2">
      <w:pPr>
        <w:pStyle w:val="Caption"/>
        <w:rPr>
          <w:rStyle w:val="ICHTextOnlyChar"/>
        </w:rPr>
      </w:pPr>
      <w:r w:rsidRPr="00943041">
        <w:rPr>
          <w:rFonts w:ascii="Times New Roman" w:hAnsi="Times New Roman" w:cs="Times New Roman"/>
          <w:sz w:val="24"/>
          <w:szCs w:val="20"/>
        </w:rPr>
        <w:t xml:space="preserve">Figure </w:t>
      </w:r>
      <w:r w:rsidRPr="00943041">
        <w:rPr>
          <w:rFonts w:ascii="Times New Roman" w:hAnsi="Times New Roman" w:cs="Times New Roman"/>
          <w:sz w:val="24"/>
          <w:szCs w:val="20"/>
        </w:rPr>
        <w:fldChar w:fldCharType="begin"/>
      </w:r>
      <w:r w:rsidRPr="00943041">
        <w:rPr>
          <w:rFonts w:ascii="Times New Roman" w:hAnsi="Times New Roman" w:cs="Times New Roman"/>
          <w:sz w:val="24"/>
          <w:szCs w:val="20"/>
        </w:rPr>
        <w:instrText>SEQ Figure \* ARABIC</w:instrText>
      </w:r>
      <w:r w:rsidRPr="00943041">
        <w:rPr>
          <w:rFonts w:ascii="Times New Roman" w:hAnsi="Times New Roman" w:cs="Times New Roman"/>
          <w:sz w:val="24"/>
          <w:szCs w:val="20"/>
        </w:rPr>
        <w:fldChar w:fldCharType="separate"/>
      </w:r>
      <w:r w:rsidRPr="00943041">
        <w:rPr>
          <w:rFonts w:ascii="Times New Roman" w:hAnsi="Times New Roman" w:cs="Times New Roman"/>
          <w:sz w:val="24"/>
          <w:szCs w:val="20"/>
        </w:rPr>
        <w:t>3</w:t>
      </w:r>
      <w:r w:rsidRPr="00943041">
        <w:rPr>
          <w:rFonts w:ascii="Times New Roman" w:hAnsi="Times New Roman" w:cs="Times New Roman"/>
          <w:sz w:val="24"/>
          <w:szCs w:val="20"/>
        </w:rPr>
        <w:fldChar w:fldCharType="end"/>
      </w:r>
      <w:r>
        <w:t>:</w:t>
      </w:r>
      <w:r w:rsidRPr="695951DC">
        <w:t xml:space="preserve">  </w:t>
      </w:r>
      <w:r w:rsidRPr="002D50C2">
        <w:rPr>
          <w:rStyle w:val="ICHTextOnlyChar"/>
        </w:rPr>
        <w:t>Safety Assessment Process for Leachables Using Safety Evaluation Thresholds</w:t>
      </w:r>
    </w:p>
    <w:p w14:paraId="4C676361" w14:textId="066672C9" w:rsidR="002D50C2" w:rsidRDefault="00212804" w:rsidP="00A34F55">
      <w:pPr>
        <w:jc w:val="center"/>
      </w:pPr>
      <w:r>
        <w:rPr>
          <w:noProof/>
        </w:rPr>
        <w:drawing>
          <wp:inline distT="0" distB="0" distL="0" distR="0" wp14:anchorId="234E3FB8" wp14:editId="5DE494A4">
            <wp:extent cx="5926015" cy="5066592"/>
            <wp:effectExtent l="0" t="0" r="0" b="0"/>
            <wp:docPr id="78235707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57071" name="Graphic 782357071"/>
                    <pic:cNvPicPr/>
                  </pic:nvPicPr>
                  <pic:blipFill>
                    <a:blip r:embed="rId19">
                      <a:extLst>
                        <a:ext uri="{96DAC541-7B7A-43D3-8B79-37D633B846F1}">
                          <asvg:svgBlip xmlns:asvg="http://schemas.microsoft.com/office/drawing/2016/SVG/main" r:embed="rId20"/>
                        </a:ext>
                      </a:extLst>
                    </a:blip>
                    <a:stretch>
                      <a:fillRect/>
                    </a:stretch>
                  </pic:blipFill>
                  <pic:spPr>
                    <a:xfrm>
                      <a:off x="0" y="0"/>
                      <a:ext cx="5931616" cy="5071381"/>
                    </a:xfrm>
                    <a:prstGeom prst="rect">
                      <a:avLst/>
                    </a:prstGeom>
                  </pic:spPr>
                </pic:pic>
              </a:graphicData>
            </a:graphic>
          </wp:inline>
        </w:drawing>
      </w:r>
    </w:p>
    <w:p w14:paraId="2C37DE7E" w14:textId="6A0A7483" w:rsidR="001D3535" w:rsidRPr="00822A9C" w:rsidRDefault="001D3535" w:rsidP="001D3535">
      <w:pPr>
        <w:pStyle w:val="ICHTextOnly"/>
        <w:rPr>
          <w:sz w:val="20"/>
          <w:szCs w:val="20"/>
          <w:bdr w:val="none" w:sz="0" w:space="0" w:color="auto"/>
          <w:lang w:val="en-US" w:eastAsia="en-US"/>
        </w:rPr>
      </w:pPr>
      <w:r w:rsidRPr="00822A9C">
        <w:rPr>
          <w:sz w:val="20"/>
          <w:szCs w:val="20"/>
          <w:bdr w:val="none" w:sz="0" w:space="0" w:color="auto"/>
          <w:lang w:val="en-US" w:eastAsia="en-US"/>
        </w:rPr>
        <w:t>* As described in ICH M7.</w:t>
      </w:r>
    </w:p>
    <w:p w14:paraId="0C4F41A0" w14:textId="7C5F21C3" w:rsidR="00822A9C" w:rsidRPr="00C05618" w:rsidRDefault="001D3535" w:rsidP="001D3535">
      <w:pPr>
        <w:pStyle w:val="ICHTextOnly"/>
        <w:rPr>
          <w:sz w:val="20"/>
          <w:szCs w:val="20"/>
          <w:bdr w:val="none" w:sz="0" w:space="0" w:color="auto"/>
          <w:lang w:val="en-US" w:eastAsia="en-US"/>
        </w:rPr>
      </w:pPr>
      <w:r w:rsidRPr="00822A9C">
        <w:rPr>
          <w:sz w:val="20"/>
          <w:szCs w:val="20"/>
          <w:bdr w:val="none" w:sz="0" w:space="0" w:color="auto"/>
          <w:lang w:val="en-US" w:eastAsia="en-US"/>
        </w:rPr>
        <w:t xml:space="preserve">** If daily exposure to leachable is &gt;1 mg/day, genotoxicity studies should be considered, as recommended in </w:t>
      </w:r>
      <w:r w:rsidR="00F81CA6">
        <w:rPr>
          <w:sz w:val="20"/>
          <w:szCs w:val="20"/>
          <w:bdr w:val="none" w:sz="0" w:space="0" w:color="auto"/>
          <w:lang w:val="en-US" w:eastAsia="en-US"/>
        </w:rPr>
        <w:t xml:space="preserve">ICH </w:t>
      </w:r>
      <w:r w:rsidRPr="00822A9C">
        <w:rPr>
          <w:sz w:val="20"/>
          <w:szCs w:val="20"/>
          <w:bdr w:val="none" w:sz="0" w:space="0" w:color="auto"/>
          <w:lang w:val="en-US" w:eastAsia="en-US"/>
        </w:rPr>
        <w:t xml:space="preserve">Q3A and </w:t>
      </w:r>
      <w:r w:rsidR="00F81CA6">
        <w:rPr>
          <w:sz w:val="20"/>
          <w:szCs w:val="20"/>
          <w:bdr w:val="none" w:sz="0" w:space="0" w:color="auto"/>
          <w:lang w:val="en-US" w:eastAsia="en-US"/>
        </w:rPr>
        <w:t xml:space="preserve">ICH </w:t>
      </w:r>
      <w:r w:rsidRPr="00822A9C">
        <w:rPr>
          <w:sz w:val="20"/>
          <w:szCs w:val="20"/>
          <w:bdr w:val="none" w:sz="0" w:space="0" w:color="auto"/>
          <w:lang w:val="en-US" w:eastAsia="en-US"/>
        </w:rPr>
        <w:t xml:space="preserve">Q3B (e.g., bacterial mutagenicity study and </w:t>
      </w:r>
      <w:r w:rsidRPr="00822A9C">
        <w:rPr>
          <w:i/>
          <w:iCs/>
          <w:sz w:val="20"/>
          <w:szCs w:val="20"/>
          <w:bdr w:val="none" w:sz="0" w:space="0" w:color="auto"/>
          <w:lang w:val="en-US" w:eastAsia="en-US"/>
        </w:rPr>
        <w:t>in vitro</w:t>
      </w:r>
      <w:r w:rsidRPr="00822A9C">
        <w:rPr>
          <w:sz w:val="20"/>
          <w:szCs w:val="20"/>
          <w:bdr w:val="none" w:sz="0" w:space="0" w:color="auto"/>
          <w:lang w:val="en-US" w:eastAsia="en-US"/>
        </w:rPr>
        <w:t xml:space="preserve"> chromosomal aberration assay).</w:t>
      </w:r>
    </w:p>
    <w:p w14:paraId="3FB5B150" w14:textId="3A5C4998" w:rsidR="001F70F3" w:rsidRPr="00A9091C" w:rsidRDefault="001D3535" w:rsidP="00C05618">
      <w:pPr>
        <w:pStyle w:val="ICHTextOnly"/>
        <w:spacing w:after="240"/>
      </w:pPr>
      <w:r w:rsidRPr="00A9091C">
        <w:lastRenderedPageBreak/>
        <w:t xml:space="preserve">Potential Class 1 leachables </w:t>
      </w:r>
      <w:r w:rsidR="006173D5">
        <w:t>should</w:t>
      </w:r>
      <w:r w:rsidRPr="00A9091C">
        <w:t xml:space="preserve"> ideally be identified and avoided during materials and component selection.  However, if such compounds cannot be avoided, lower compound-specific thresholds and specifications to adequately control their presence as leachables should be implemented as an initial step in the process.  Subsequently, all leachables above the TTC applicable to the drug product should be evaluated for mutagenic potential according to ICH M7. Leachables considered potentially mutagenic should be appropriately controlled within TTC limits unless de-risked by appropriate mutagenicity studies.  </w:t>
      </w:r>
    </w:p>
    <w:p w14:paraId="4012179E" w14:textId="68DADDB9" w:rsidR="00A101D1" w:rsidRPr="00C05618" w:rsidRDefault="001D3535" w:rsidP="00C05618">
      <w:pPr>
        <w:pStyle w:val="ICHTextOnly"/>
        <w:spacing w:after="240"/>
        <w:rPr>
          <w:rFonts w:cs="Arial"/>
        </w:rPr>
      </w:pPr>
      <w:r w:rsidRPr="00A9091C">
        <w:t xml:space="preserve">In addition to the mutagenicity assessment, all leachables above the applicable QT for the drug product should also be evaluated for general toxicity concerns. If adequate data are available to support the safety of the leachable at the maximal potential patient exposure, then no further </w:t>
      </w:r>
      <w:r w:rsidRPr="00A9091C" w:rsidDel="00DD186A">
        <w:t xml:space="preserve">toxicological </w:t>
      </w:r>
      <w:r w:rsidRPr="00A9091C">
        <w:t>assessment is needed</w:t>
      </w:r>
      <w:r w:rsidR="00A834CD">
        <w:t xml:space="preserve"> (See</w:t>
      </w:r>
      <w:r w:rsidR="00A13A68">
        <w:t xml:space="preserve"> Appendix 5 </w:t>
      </w:r>
      <w:r w:rsidR="009827F5">
        <w:t>for further information).</w:t>
      </w:r>
      <w:r w:rsidR="00A13A68">
        <w:t xml:space="preserve"> </w:t>
      </w:r>
      <w:r w:rsidRPr="00A9091C">
        <w:t>Conversely, if data do not sufficiently support the safety of the leachable, further action is needed to reduce the potential exposure to a known acceptable level (material replacement</w:t>
      </w:r>
      <w:r w:rsidR="000D246E">
        <w:t>,</w:t>
      </w:r>
      <w:r w:rsidR="009329E1">
        <w:t xml:space="preserve"> </w:t>
      </w:r>
      <w:r w:rsidR="009329E1" w:rsidRPr="695951DC">
        <w:rPr>
          <w:rFonts w:cs="Arial"/>
        </w:rPr>
        <w:t xml:space="preserve">etc.), generation of additional toxicological data to qualify the observed level, or a risk/benefit assessment providing justification of exposure at the observed level. </w:t>
      </w:r>
    </w:p>
    <w:p w14:paraId="383E4EE9" w14:textId="0403DCD6" w:rsidR="00A101D1" w:rsidRDefault="001D3535" w:rsidP="00C05618">
      <w:pPr>
        <w:pStyle w:val="ICHTextOnly"/>
        <w:spacing w:after="240"/>
      </w:pPr>
      <w:r w:rsidRPr="00A9091C">
        <w:t>It should be noted that for leachables where adequate data to inform on the safety of the compound are not available, a read across approach using a highly similar compound(s) with toxicological data is encouraged. If suitable surrogate(s) can be identified that have sufficient data to support the safety of the observed leachable at the leve</w:t>
      </w:r>
      <w:r w:rsidR="0084134F">
        <w:t>l</w:t>
      </w:r>
      <w:r w:rsidR="0084134F" w:rsidRPr="0084134F">
        <w:t xml:space="preserve"> observed, further </w:t>
      </w:r>
      <w:r w:rsidR="0084134F">
        <w:t>safety</w:t>
      </w:r>
      <w:r w:rsidR="00A101D1">
        <w:t xml:space="preserve"> risk</w:t>
      </w:r>
      <w:r w:rsidR="0084134F" w:rsidRPr="0084134F">
        <w:t xml:space="preserve"> assessment and/or studies can be avoided.</w:t>
      </w:r>
    </w:p>
    <w:p w14:paraId="5F409236" w14:textId="411B7FA8" w:rsidR="00A101D1" w:rsidRDefault="001D3535" w:rsidP="001D3535">
      <w:pPr>
        <w:pStyle w:val="ICHTextOnly"/>
      </w:pPr>
      <w:r w:rsidRPr="00A9091C">
        <w:t xml:space="preserve">If the generation of novel toxicological data is considered necessary to support the safety of exposure to a leachable, New Approach Methodologies (NAMs) including </w:t>
      </w:r>
      <w:r w:rsidRPr="00A9091C">
        <w:rPr>
          <w:i/>
        </w:rPr>
        <w:t>in silico</w:t>
      </w:r>
      <w:r w:rsidRPr="00A9091C">
        <w:t xml:space="preserve"> and </w:t>
      </w:r>
      <w:r w:rsidRPr="00A9091C">
        <w:rPr>
          <w:i/>
        </w:rPr>
        <w:t>in vitro</w:t>
      </w:r>
      <w:r w:rsidRPr="00A9091C">
        <w:t xml:space="preserve"> models may be considered if appropriately justified. Otherwise, a toxicological qualification study(ies) as described in ICH Q3A and Q3B should be considered in order support safety assessment of the compound(s). </w:t>
      </w:r>
    </w:p>
    <w:p w14:paraId="1B65E2D9" w14:textId="7521BE88" w:rsidR="00A101D1" w:rsidRDefault="00227395" w:rsidP="001A21F8">
      <w:pPr>
        <w:pStyle w:val="Heading2"/>
      </w:pPr>
      <w:bookmarkStart w:id="29" w:name="_Toc201662521"/>
      <w:r>
        <w:t>Route Specific Considerations and Special Cases (Local Toxicity Concerns)</w:t>
      </w:r>
      <w:bookmarkEnd w:id="29"/>
    </w:p>
    <w:p w14:paraId="42624B25" w14:textId="50F638A0" w:rsidR="00791E3F" w:rsidRDefault="00A101D1" w:rsidP="001D3535">
      <w:pPr>
        <w:pStyle w:val="ICHTextOnly"/>
      </w:pPr>
      <w:r>
        <w:t>Safety</w:t>
      </w:r>
      <w:r w:rsidR="00C75B2A" w:rsidRPr="695951DC" w:rsidDel="00E178DF">
        <w:t xml:space="preserve"> risk</w:t>
      </w:r>
      <w:r w:rsidR="00C75B2A" w:rsidRPr="695951DC">
        <w:t xml:space="preserve"> assessments for</w:t>
      </w:r>
      <w:r w:rsidR="001601DF">
        <w:t xml:space="preserve"> potential</w:t>
      </w:r>
      <w:r w:rsidR="00C75B2A" w:rsidRPr="695951DC">
        <w:t xml:space="preserve"> systemic </w:t>
      </w:r>
      <w:r w:rsidR="001601DF">
        <w:t>toxicity</w:t>
      </w:r>
      <w:r w:rsidR="001601DF" w:rsidRPr="695951DC" w:rsidDel="00E178DF">
        <w:t xml:space="preserve"> </w:t>
      </w:r>
      <w:r w:rsidR="00C75B2A" w:rsidRPr="695951DC">
        <w:t xml:space="preserve">are typically sufficient to support the safety of exposure to leachables. However, there are certain scenarios where potential local toxicity effects may be pertinent due to the potential for damage to vulnerable tissues related to the local concentration of a compound (e.g., pulmonary drug products, ophthalmic drug products, and intracerebral/intrathecal/epidural drug products). When relevant, the </w:t>
      </w:r>
      <w:r w:rsidR="00C75B2A" w:rsidRPr="695951DC" w:rsidDel="00D61078">
        <w:lastRenderedPageBreak/>
        <w:t>toxicological risk</w:t>
      </w:r>
      <w:r w:rsidR="00C75B2A" w:rsidRPr="695951DC">
        <w:t xml:space="preserve"> assessment should address the potential impact of a leachable on local tissue toxicity as well as factors that may potentially reduce such concerns (e.g., formulation and excipients, contact duration, recovery of tissue damage). Additionally, when potential local toxicity needs to be considered, the SCT used should be the lowest (on a daily exposure basis) of the mutagenic (</w:t>
      </w:r>
      <w:r w:rsidR="009D0E5D">
        <w:t>i.e.</w:t>
      </w:r>
      <w:r w:rsidR="00DF5376">
        <w:t xml:space="preserve">, </w:t>
      </w:r>
      <w:r w:rsidR="00C75B2A" w:rsidRPr="695951DC">
        <w:t>TTC), non-mutagenic (</w:t>
      </w:r>
      <w:r w:rsidR="00DF5376">
        <w:t xml:space="preserve">i.e., </w:t>
      </w:r>
      <w:r w:rsidR="00C75B2A" w:rsidRPr="695951DC">
        <w:t>QT), and local toxicity threshold</w:t>
      </w:r>
      <w:r w:rsidR="0082322F">
        <w:t>s</w:t>
      </w:r>
      <w:r w:rsidR="00C75B2A" w:rsidRPr="695951DC">
        <w:t xml:space="preserve"> (pertinent concentration converted to a maximum daily</w:t>
      </w:r>
      <w:r w:rsidR="001973B9">
        <w:t xml:space="preserve"> exposure level</w:t>
      </w:r>
      <w:r w:rsidR="00C75B2A" w:rsidRPr="695951DC">
        <w:t>).</w:t>
      </w:r>
    </w:p>
    <w:p w14:paraId="5DF191D1" w14:textId="77777777" w:rsidR="00791E3F" w:rsidRDefault="00765081" w:rsidP="00943041">
      <w:pPr>
        <w:pStyle w:val="Heading3"/>
      </w:pPr>
      <w:bookmarkStart w:id="30" w:name="_Toc201662522"/>
      <w:r w:rsidRPr="0032684B">
        <w:t>O</w:t>
      </w:r>
      <w:r>
        <w:t>phthalmic</w:t>
      </w:r>
      <w:r w:rsidR="00B73311">
        <w:t xml:space="preserve"> Drug Products</w:t>
      </w:r>
      <w:bookmarkEnd w:id="30"/>
      <w:r>
        <w:t xml:space="preserve"> </w:t>
      </w:r>
    </w:p>
    <w:p w14:paraId="067B6C32" w14:textId="2720D31C" w:rsidR="00791E3F" w:rsidRDefault="00765081" w:rsidP="001D3535">
      <w:pPr>
        <w:pStyle w:val="ICHTextOnly"/>
      </w:pPr>
      <w:r w:rsidRPr="0032684B">
        <w:t>O</w:t>
      </w:r>
      <w:r w:rsidRPr="695951DC">
        <w:t>phthalmic</w:t>
      </w:r>
      <w:r w:rsidR="00142872" w:rsidRPr="695951DC">
        <w:t xml:space="preserve"> products are often administered topically, while some products are injected directly into ocular tissues. There is a paucity of data to characterize the potential local toxicity of leachables when in contact with ocular tissues. Based on historical precedence, in the absence of a relevant database, a compound-specific </w:t>
      </w:r>
      <w:r w:rsidR="00142872" w:rsidRPr="695951DC" w:rsidDel="00D61078">
        <w:t xml:space="preserve">risk </w:t>
      </w:r>
      <w:r w:rsidR="00142872" w:rsidRPr="695951DC">
        <w:t xml:space="preserve">assessment should be completed for topically administered products to justify the safety of a leachable when it exceeds a concentration of 20 ppm in the final to-be-marketed topical ophthalmic products. </w:t>
      </w:r>
      <w:r w:rsidR="002E6D7B">
        <w:t>This</w:t>
      </w:r>
      <w:r w:rsidR="00142872" w:rsidRPr="695951DC">
        <w:t xml:space="preserve"> concentration limit is not considered applicable to irrigation fluids that are in transient contact with ocular tissues. For products </w:t>
      </w:r>
      <w:r w:rsidR="00FF5367">
        <w:t>injected</w:t>
      </w:r>
      <w:r w:rsidR="00FF5367" w:rsidRPr="695951DC">
        <w:t xml:space="preserve"> </w:t>
      </w:r>
      <w:r w:rsidR="00142872" w:rsidRPr="695951DC">
        <w:t>into ocular tissues no threshold is given. A qualitative safety assessment of any leachables present should be provided</w:t>
      </w:r>
      <w:r w:rsidR="00026C9E">
        <w:t>, since such leachables</w:t>
      </w:r>
      <w:r w:rsidR="00142872" w:rsidRPr="695951DC">
        <w:t xml:space="preserve"> may be of relevance even when present at a concentration below 20 ppm.</w:t>
      </w:r>
    </w:p>
    <w:p w14:paraId="093C3D2B" w14:textId="795AF9AA" w:rsidR="001D3535" w:rsidRPr="00452279" w:rsidRDefault="000435D5" w:rsidP="00943041">
      <w:pPr>
        <w:pStyle w:val="Heading3"/>
      </w:pPr>
      <w:bookmarkStart w:id="31" w:name="_Toc201662523"/>
      <w:r>
        <w:t>Intracerebral, Intrathecal, Epidural Drug Products</w:t>
      </w:r>
      <w:bookmarkEnd w:id="31"/>
    </w:p>
    <w:p w14:paraId="3B70D572" w14:textId="50E362A2" w:rsidR="00775077" w:rsidRPr="00622D3E" w:rsidRDefault="4010B654" w:rsidP="00775077">
      <w:pPr>
        <w:pStyle w:val="ICHTextOnly"/>
      </w:pPr>
      <w:r w:rsidRPr="695951DC">
        <w:t xml:space="preserve">Intracerebral, intrathecal, and epidural drug products may directly interact with vital central nervous system (CNS) tissues that have a limited capacity for repair following insult, yet there is a paucity of data to characterize the potential toxicity of compounds directly administered into or in close proximity to neuronal tissue. </w:t>
      </w:r>
      <w:r w:rsidRPr="555688C4">
        <w:rPr>
          <w:i/>
          <w:iCs/>
        </w:rPr>
        <w:t xml:space="preserve">In vitro </w:t>
      </w:r>
      <w:r w:rsidRPr="695951DC">
        <w:t xml:space="preserve">data suggest chemically induced biological effects can occur in the very low </w:t>
      </w:r>
      <w:r w:rsidRPr="695951DC" w:rsidDel="00142176">
        <w:t>parts</w:t>
      </w:r>
      <w:r w:rsidR="00142176">
        <w:t xml:space="preserve"> per billion (ppb)</w:t>
      </w:r>
      <w:r w:rsidRPr="695951DC">
        <w:t xml:space="preserve"> range for some compounds with known neurotoxic</w:t>
      </w:r>
      <w:r w:rsidR="001717AA">
        <w:t>ity</w:t>
      </w:r>
      <w:r w:rsidRPr="695951DC">
        <w:t xml:space="preserve">. Therefore, a compound-specific </w:t>
      </w:r>
      <w:r w:rsidRPr="695951DC" w:rsidDel="00D61078">
        <w:t>risk</w:t>
      </w:r>
      <w:r w:rsidR="00D61078" w:rsidRPr="695951DC">
        <w:t xml:space="preserve"> </w:t>
      </w:r>
      <w:r w:rsidRPr="695951DC">
        <w:t xml:space="preserve">assessment should consider local concentration of observed leachables and the potential local toxicity concerns on neuronal tissue (e.g., neurons, astrocytes, glia, myelin) including an </w:t>
      </w:r>
      <w:r w:rsidRPr="695951DC" w:rsidDel="00D61078">
        <w:t xml:space="preserve">assessment </w:t>
      </w:r>
      <w:r w:rsidRPr="695951DC">
        <w:t xml:space="preserve">of the potential for a local inflammatory response. </w:t>
      </w:r>
    </w:p>
    <w:p w14:paraId="64382DD1" w14:textId="2F23CCB1" w:rsidR="008E003B" w:rsidRDefault="00775077" w:rsidP="00775077">
      <w:pPr>
        <w:pStyle w:val="Heading3"/>
      </w:pPr>
      <w:bookmarkStart w:id="32" w:name="_Toc201662524"/>
      <w:r>
        <w:t>Dermal Drug Products</w:t>
      </w:r>
      <w:bookmarkEnd w:id="32"/>
    </w:p>
    <w:p w14:paraId="5BF26494" w14:textId="0E006033" w:rsidR="00A42861" w:rsidRDefault="00A42861" w:rsidP="00A42861">
      <w:pPr>
        <w:pStyle w:val="ICHTextOnly"/>
      </w:pPr>
      <w:r w:rsidRPr="695951DC">
        <w:t>With regard to any local toxicity effects, sensitization potential (see Section 6.4.</w:t>
      </w:r>
      <w:r>
        <w:t>4</w:t>
      </w:r>
      <w:r w:rsidRPr="695951DC">
        <w:t xml:space="preserve">) is likely the most sensitive non-genotoxic endpoint when the leachable concerns a strong or extreme </w:t>
      </w:r>
      <w:r w:rsidR="0085365C">
        <w:t xml:space="preserve">potency </w:t>
      </w:r>
      <w:r w:rsidRPr="695951DC">
        <w:t>skin sensitizer. For High Potency Chemicals (HPC)</w:t>
      </w:r>
      <w:r w:rsidR="007F442F">
        <w:t>,</w:t>
      </w:r>
      <w:r w:rsidRPr="695951DC">
        <w:t xml:space="preserve"> a Dermal Sensitization Threshold (DST) of 1 µg/cm</w:t>
      </w:r>
      <w:r w:rsidRPr="695951DC">
        <w:rPr>
          <w:vertAlign w:val="superscript"/>
        </w:rPr>
        <w:t>2</w:t>
      </w:r>
      <w:r w:rsidRPr="695951DC">
        <w:t xml:space="preserve">/day has been derived. This threshold corresponds to 500 ppm in a dermal drug product, using the Cutaneous and Transcutaneous Concentration Limit (CTCL) </w:t>
      </w:r>
      <w:r w:rsidRPr="695951DC">
        <w:lastRenderedPageBreak/>
        <w:t xml:space="preserve">calculation for conversion as described in ICH Q3D. Consequently, a </w:t>
      </w:r>
      <w:r w:rsidR="0085365C">
        <w:t xml:space="preserve">local toxicity </w:t>
      </w:r>
      <w:r w:rsidRPr="695951DC">
        <w:t>threshold corresponding to 500 ppm concentration in the product can be used for dermal products below which there is no need for local non-mutagenic toxicity evaluation including sensitization potential</w:t>
      </w:r>
      <w:r w:rsidR="0085365C">
        <w:t xml:space="preserve"> (See Table 1</w:t>
      </w:r>
      <w:r w:rsidR="00A47F87">
        <w:t>.)</w:t>
      </w:r>
      <w:r w:rsidRPr="695951DC">
        <w:t>.</w:t>
      </w:r>
    </w:p>
    <w:p w14:paraId="57A954C6" w14:textId="42AC7C6C" w:rsidR="00A42861" w:rsidRDefault="00A42861" w:rsidP="00A42861">
      <w:pPr>
        <w:pStyle w:val="Heading3"/>
      </w:pPr>
      <w:bookmarkStart w:id="33" w:name="_Toc201662525"/>
      <w:r>
        <w:t>Se</w:t>
      </w:r>
      <w:r w:rsidR="00720AC0">
        <w:t>nsitization Potential</w:t>
      </w:r>
      <w:bookmarkEnd w:id="33"/>
    </w:p>
    <w:p w14:paraId="66968F7F" w14:textId="54820C33" w:rsidR="00056DB2" w:rsidRPr="00622D3E" w:rsidRDefault="00056DB2" w:rsidP="00056DB2">
      <w:pPr>
        <w:pStyle w:val="ICHTextOnly"/>
      </w:pPr>
      <w:r w:rsidRPr="00056DB2">
        <w:rPr>
          <w:rStyle w:val="ICHTextOnlyChar"/>
        </w:rPr>
        <w:t>Sensitizers are compounds that may trigger hypersensitivity reactions after repeated exposure. The concern for these compounds is dependent on the sensitization potential of the compound, the route of exposure and the susceptibility of the individual exposed. Different types of hypersensitivity with multiple modes of action have been described for various routes</w:t>
      </w:r>
      <w:r w:rsidRPr="695951DC">
        <w:t xml:space="preserve"> of exposure</w:t>
      </w:r>
      <w:r w:rsidR="00F17E40">
        <w:t>;</w:t>
      </w:r>
      <w:r w:rsidRPr="695951DC">
        <w:t xml:space="preserve"> however</w:t>
      </w:r>
      <w:r w:rsidR="00DA39CA">
        <w:t>,</w:t>
      </w:r>
      <w:r w:rsidRPr="695951DC">
        <w:t xml:space="preserve"> validated prediction models exist for the dermal route only. This guidance addresses the risk for induction of sensitization potential and provides </w:t>
      </w:r>
      <w:r w:rsidR="00040683">
        <w:t xml:space="preserve">local toxicity </w:t>
      </w:r>
      <w:r w:rsidRPr="695951DC">
        <w:t>thresholds for this risk where appropriate. If patients are sensitized to a compound, elicitation of sensitization reactions may occur at lower thresholds.</w:t>
      </w:r>
    </w:p>
    <w:p w14:paraId="390BF68B" w14:textId="77777777" w:rsidR="00056DB2" w:rsidRPr="00CA709D" w:rsidRDefault="00056DB2" w:rsidP="00C05618">
      <w:pPr>
        <w:pStyle w:val="ICHTextOnly"/>
        <w:spacing w:before="180" w:after="60"/>
        <w:rPr>
          <w:u w:val="single"/>
        </w:rPr>
      </w:pPr>
      <w:r w:rsidRPr="00CA709D">
        <w:rPr>
          <w:u w:val="single"/>
        </w:rPr>
        <w:t>Dermal exposure </w:t>
      </w:r>
    </w:p>
    <w:p w14:paraId="71C6DF06" w14:textId="5EB6D870" w:rsidR="00047959" w:rsidRPr="00C05618" w:rsidRDefault="5F6779E2" w:rsidP="00C05618">
      <w:pPr>
        <w:pStyle w:val="ICHTextOnly"/>
        <w:spacing w:after="240"/>
      </w:pPr>
      <w:r w:rsidRPr="695951DC">
        <w:t xml:space="preserve">Most data on sensitization potential have been obtained using the dermal route. Besides human data, </w:t>
      </w:r>
      <w:r w:rsidRPr="555688C4">
        <w:rPr>
          <w:i/>
          <w:iCs/>
        </w:rPr>
        <w:t>in silico</w:t>
      </w:r>
      <w:r w:rsidRPr="695951DC">
        <w:t xml:space="preserve">, </w:t>
      </w:r>
      <w:r w:rsidRPr="555688C4">
        <w:rPr>
          <w:i/>
          <w:iCs/>
        </w:rPr>
        <w:t xml:space="preserve">in </w:t>
      </w:r>
      <w:proofErr w:type="spellStart"/>
      <w:r w:rsidRPr="555688C4">
        <w:rPr>
          <w:i/>
          <w:iCs/>
        </w:rPr>
        <w:t>chemico</w:t>
      </w:r>
      <w:proofErr w:type="spellEnd"/>
      <w:r w:rsidRPr="695951DC">
        <w:t xml:space="preserve">, </w:t>
      </w:r>
      <w:r w:rsidRPr="555688C4">
        <w:rPr>
          <w:i/>
          <w:iCs/>
        </w:rPr>
        <w:t>in vitro,</w:t>
      </w:r>
      <w:r w:rsidRPr="695951DC">
        <w:t xml:space="preserve"> and </w:t>
      </w:r>
      <w:r w:rsidRPr="555688C4">
        <w:rPr>
          <w:i/>
          <w:iCs/>
        </w:rPr>
        <w:t>in vivo</w:t>
      </w:r>
      <w:r w:rsidRPr="695951DC">
        <w:t xml:space="preserve"> models have been developed and used to characterize the dermal sensitization potential of compounds. DSTs have been </w:t>
      </w:r>
      <w:r w:rsidR="00BF3821">
        <w:t xml:space="preserve">derived </w:t>
      </w:r>
      <w:r w:rsidR="00B6471C">
        <w:t xml:space="preserve">based </w:t>
      </w:r>
      <w:r w:rsidR="00371CC4">
        <w:t>on</w:t>
      </w:r>
      <w:r w:rsidR="008800A8">
        <w:t xml:space="preserve"> sensitization potency</w:t>
      </w:r>
      <w:r w:rsidR="00E85393">
        <w:t>.</w:t>
      </w:r>
      <w:r w:rsidR="002C5F72">
        <w:rPr>
          <w:rStyle w:val="FootnoteReference"/>
          <w:b/>
          <w:bCs/>
        </w:rPr>
        <w:t>1</w:t>
      </w:r>
      <w:r w:rsidR="006D59E5" w:rsidRPr="00637EB6">
        <w:rPr>
          <w:b/>
          <w:bCs/>
          <w:vertAlign w:val="superscript"/>
        </w:rPr>
        <w:t>,</w:t>
      </w:r>
      <w:r w:rsidR="002C5F72">
        <w:rPr>
          <w:rStyle w:val="FootnoteReference"/>
          <w:b/>
          <w:bCs/>
        </w:rPr>
        <w:t>2</w:t>
      </w:r>
      <w:r w:rsidRPr="001673A4">
        <w:t>  </w:t>
      </w:r>
    </w:p>
    <w:p w14:paraId="10C12653" w14:textId="5D6E5C37" w:rsidR="005C5739" w:rsidRPr="00047959" w:rsidRDefault="00047959" w:rsidP="00C05618">
      <w:pPr>
        <w:pStyle w:val="ICHTextOnly"/>
        <w:spacing w:after="240"/>
        <w:rPr>
          <w:bdr w:val="none" w:sz="0" w:space="0" w:color="auto"/>
          <w:lang w:val="en-US" w:eastAsia="en-US"/>
        </w:rPr>
      </w:pPr>
      <w:r w:rsidRPr="00047959">
        <w:rPr>
          <w:bdr w:val="none" w:sz="0" w:space="0" w:color="auto"/>
          <w:lang w:val="en-US" w:eastAsia="en-US"/>
        </w:rPr>
        <w:t xml:space="preserve">Where an identified leachable is administered dermally below the DST for the relevant potency category, it can be concluded that no concern for dermal sensitization is </w:t>
      </w:r>
      <w:r w:rsidR="00F328CE" w:rsidRPr="00047959">
        <w:rPr>
          <w:bdr w:val="none" w:sz="0" w:space="0" w:color="auto"/>
          <w:lang w:val="en-US" w:eastAsia="en-US"/>
        </w:rPr>
        <w:t>expected,</w:t>
      </w:r>
      <w:r w:rsidRPr="00047959">
        <w:rPr>
          <w:bdr w:val="none" w:sz="0" w:space="0" w:color="auto"/>
          <w:lang w:val="en-US" w:eastAsia="en-US"/>
        </w:rPr>
        <w:t xml:space="preserve"> and no further action is required. If the DST is exceeded, available compound-specific data on sensitization potential should be evaluated. If no such data are available, or when these data raise concerns, risk mitigation measures need to be considered. These may include replacement of the component leaching the compound or reduction of the level of the leachable.</w:t>
      </w:r>
    </w:p>
    <w:p w14:paraId="091C9A74" w14:textId="77777777" w:rsidR="00047959" w:rsidRPr="00047959" w:rsidRDefault="00047959" w:rsidP="00047959">
      <w:pPr>
        <w:pStyle w:val="ICHTextOnly"/>
        <w:rPr>
          <w:bdr w:val="none" w:sz="0" w:space="0" w:color="auto"/>
          <w:lang w:val="en-US" w:eastAsia="en-US"/>
        </w:rPr>
      </w:pPr>
      <w:r w:rsidRPr="00047959">
        <w:rPr>
          <w:bdr w:val="none" w:sz="0" w:space="0" w:color="auto"/>
          <w:lang w:val="en-US" w:eastAsia="en-US"/>
        </w:rPr>
        <w:t>As transdermal drugs are applied to the skin as well, the same approach can be used to evaluate the risk for sensitization potential. For multi-day patches it is assumed that all leachables migrate within a day. A slower migration rate should be justified with data.</w:t>
      </w:r>
    </w:p>
    <w:p w14:paraId="54FD1CDA" w14:textId="77777777" w:rsidR="00C43A44" w:rsidRPr="00C05618" w:rsidRDefault="00C43A44" w:rsidP="00C05618">
      <w:pPr>
        <w:pStyle w:val="ICHTextOnly"/>
        <w:spacing w:before="120" w:after="120"/>
        <w:rPr>
          <w:u w:val="single"/>
        </w:rPr>
      </w:pPr>
      <w:r w:rsidRPr="00C05618">
        <w:rPr>
          <w:u w:val="single"/>
        </w:rPr>
        <w:t xml:space="preserve">Inhalation exposure </w:t>
      </w:r>
    </w:p>
    <w:p w14:paraId="507911E5" w14:textId="6407ABBB" w:rsidR="00FE5813" w:rsidRDefault="00C43A44" w:rsidP="00C05618">
      <w:pPr>
        <w:pStyle w:val="ICHTextOnly"/>
        <w:spacing w:after="240"/>
        <w:rPr>
          <w:rFonts w:eastAsia="MS Mincho" w:cs="Arial"/>
          <w:bdr w:val="none" w:sz="0" w:space="0" w:color="auto"/>
          <w:lang w:val="en-US" w:eastAsia="en-US"/>
        </w:rPr>
      </w:pPr>
      <w:r w:rsidRPr="00C43A44">
        <w:rPr>
          <w:rFonts w:eastAsia="MS Mincho" w:cs="Arial"/>
          <w:bdr w:val="none" w:sz="0" w:space="0" w:color="auto"/>
          <w:lang w:val="en-US" w:eastAsia="en-US"/>
        </w:rPr>
        <w:t xml:space="preserve">Knowledge </w:t>
      </w:r>
      <w:r w:rsidR="005C5739" w:rsidRPr="00C43A44">
        <w:rPr>
          <w:rFonts w:eastAsia="MS Mincho" w:cs="Arial"/>
          <w:bdr w:val="none" w:sz="0" w:space="0" w:color="auto"/>
          <w:lang w:val="en-US" w:eastAsia="en-US"/>
        </w:rPr>
        <w:t>of</w:t>
      </w:r>
      <w:r w:rsidRPr="00C43A44">
        <w:rPr>
          <w:rFonts w:eastAsia="MS Mincho" w:cs="Arial"/>
          <w:bdr w:val="none" w:sz="0" w:space="0" w:color="auto"/>
          <w:lang w:val="en-US" w:eastAsia="en-US"/>
        </w:rPr>
        <w:t xml:space="preserve"> the respiratory sensitization potential of a compound is </w:t>
      </w:r>
      <w:r w:rsidR="005C5739">
        <w:rPr>
          <w:rFonts w:eastAsia="MS Mincho" w:cs="Arial"/>
          <w:bdr w:val="none" w:sz="0" w:space="0" w:color="auto"/>
          <w:lang w:val="en-US" w:eastAsia="en-US"/>
        </w:rPr>
        <w:t>primarily from</w:t>
      </w:r>
      <w:r w:rsidRPr="00C43A44">
        <w:rPr>
          <w:rFonts w:eastAsia="MS Mincho" w:cs="Arial"/>
          <w:bdr w:val="none" w:sz="0" w:space="0" w:color="auto"/>
          <w:lang w:val="en-US" w:eastAsia="en-US"/>
        </w:rPr>
        <w:t xml:space="preserve"> human data. Currently, suitable non-clinical models for respiratory sensitization are not established for </w:t>
      </w:r>
      <w:r w:rsidR="006B2DAE">
        <w:rPr>
          <w:rFonts w:eastAsia="MS Mincho" w:cs="Arial"/>
          <w:bdr w:val="none" w:sz="0" w:space="0" w:color="auto"/>
          <w:lang w:val="en-US" w:eastAsia="en-US"/>
        </w:rPr>
        <w:t xml:space="preserve">safety </w:t>
      </w:r>
      <w:r w:rsidRPr="00C43A44" w:rsidDel="00D61078">
        <w:rPr>
          <w:rFonts w:eastAsia="MS Mincho" w:cs="Arial"/>
          <w:bdr w:val="none" w:sz="0" w:space="0" w:color="auto"/>
          <w:lang w:val="en-US" w:eastAsia="en-US"/>
        </w:rPr>
        <w:t xml:space="preserve">risk </w:t>
      </w:r>
      <w:r w:rsidRPr="00C43A44">
        <w:rPr>
          <w:rFonts w:eastAsia="MS Mincho" w:cs="Arial"/>
          <w:bdr w:val="none" w:sz="0" w:space="0" w:color="auto"/>
          <w:lang w:val="en-US" w:eastAsia="en-US"/>
        </w:rPr>
        <w:t xml:space="preserve">assessment. The modes of action for dermal and respiratory sensitizers show </w:t>
      </w:r>
      <w:r w:rsidRPr="00C43A44">
        <w:rPr>
          <w:rFonts w:eastAsia="MS Mincho" w:cs="Arial"/>
          <w:bdr w:val="none" w:sz="0" w:space="0" w:color="auto"/>
          <w:lang w:val="en-US" w:eastAsia="en-US"/>
        </w:rPr>
        <w:lastRenderedPageBreak/>
        <w:t>commonalities, but also deviate, especially after T-cell activation. Consequently, dermal sensitization data should not be used to estimate the risk for respiratory sensitization and no threshold for respiratory sensitization can be provided.</w:t>
      </w:r>
    </w:p>
    <w:p w14:paraId="3AE73EFB" w14:textId="5BEC4FBB" w:rsidR="00C43A44" w:rsidRPr="00C43A44" w:rsidRDefault="54617A01" w:rsidP="00C43A44">
      <w:pPr>
        <w:pStyle w:val="ICHTextOnly"/>
        <w:rPr>
          <w:rFonts w:eastAsia="MS Mincho" w:cs="Arial"/>
          <w:bdr w:val="none" w:sz="0" w:space="0" w:color="auto"/>
          <w:lang w:val="en-US" w:eastAsia="en-US"/>
        </w:rPr>
      </w:pPr>
      <w:r w:rsidRPr="00C43A44">
        <w:rPr>
          <w:rFonts w:eastAsia="MS Mincho" w:cs="Arial"/>
          <w:bdr w:val="none" w:sz="0" w:space="0" w:color="auto"/>
          <w:lang w:val="en-US" w:eastAsia="en-US"/>
        </w:rPr>
        <w:t>The respiratory tract is very sensitive to compounds with sensitizing (and irritating) properties</w:t>
      </w:r>
      <w:r w:rsidR="005E7B75" w:rsidRPr="00637EB6">
        <w:rPr>
          <w:rFonts w:eastAsia="MS Mincho" w:cs="Arial"/>
          <w:b/>
          <w:bCs/>
          <w:bdr w:val="none" w:sz="0" w:space="0" w:color="auto"/>
          <w:vertAlign w:val="superscript"/>
          <w:lang w:val="en-US" w:eastAsia="en-US"/>
        </w:rPr>
        <w:t>3</w:t>
      </w:r>
      <w:r w:rsidR="005E7B75" w:rsidRPr="00C43A44">
        <w:rPr>
          <w:rFonts w:eastAsia="MS Mincho" w:cs="Arial"/>
          <w:bdr w:val="none" w:sz="0" w:space="0" w:color="auto"/>
          <w:lang w:val="en-US" w:eastAsia="en-US"/>
        </w:rPr>
        <w:t xml:space="preserve">. </w:t>
      </w:r>
      <w:r w:rsidRPr="00C43A44">
        <w:rPr>
          <w:rFonts w:eastAsia="MS Mincho" w:cs="Arial"/>
          <w:bdr w:val="none" w:sz="0" w:space="0" w:color="auto"/>
          <w:lang w:val="en-US" w:eastAsia="en-US"/>
        </w:rPr>
        <w:t xml:space="preserve">Therefore, any compound with structural elements that may suggest sensitizing potential or irritation should be evaluated (e.g. isocyanates, nitriles, </w:t>
      </w:r>
      <w:proofErr w:type="spellStart"/>
      <w:r w:rsidRPr="00C43A44">
        <w:rPr>
          <w:rFonts w:eastAsia="MS Mincho" w:cs="Arial"/>
          <w:bdr w:val="none" w:sz="0" w:space="0" w:color="auto"/>
          <w:lang w:val="en-US" w:eastAsia="en-US"/>
        </w:rPr>
        <w:t>styrenes</w:t>
      </w:r>
      <w:proofErr w:type="spellEnd"/>
      <w:r w:rsidRPr="00C43A44">
        <w:rPr>
          <w:rFonts w:eastAsia="MS Mincho" w:cs="Arial"/>
          <w:bdr w:val="none" w:sz="0" w:space="0" w:color="auto"/>
          <w:lang w:val="en-US" w:eastAsia="en-US"/>
        </w:rPr>
        <w:t xml:space="preserve">, short-chain aldehydes). If a compound is considered to </w:t>
      </w:r>
      <w:r w:rsidR="0036604B">
        <w:rPr>
          <w:rFonts w:eastAsia="MS Mincho" w:cs="Arial"/>
          <w:bdr w:val="none" w:sz="0" w:space="0" w:color="auto"/>
          <w:lang w:val="en-US" w:eastAsia="en-US"/>
        </w:rPr>
        <w:t>be</w:t>
      </w:r>
      <w:r w:rsidRPr="00C43A44">
        <w:rPr>
          <w:rFonts w:eastAsia="MS Mincho" w:cs="Arial"/>
          <w:bdr w:val="none" w:sz="0" w:space="0" w:color="auto"/>
          <w:lang w:val="en-US" w:eastAsia="en-US"/>
        </w:rPr>
        <w:t xml:space="preserve"> an irritant or have sensitizing potential, patient risk should be assessed on a case-by-case basis after evaluating the available information for the specific compound. Additionally,</w:t>
      </w:r>
      <w:r w:rsidRPr="00C43A44" w:rsidDel="00360A09">
        <w:rPr>
          <w:rFonts w:eastAsia="MS Mincho" w:cs="Arial"/>
          <w:bdr w:val="none" w:sz="0" w:space="0" w:color="auto"/>
          <w:lang w:val="en-US" w:eastAsia="en-US"/>
        </w:rPr>
        <w:t xml:space="preserve"> </w:t>
      </w:r>
      <w:r w:rsidR="00360A09">
        <w:rPr>
          <w:rFonts w:eastAsia="MS Mincho" w:cs="Arial"/>
          <w:bdr w:val="none" w:sz="0" w:space="0" w:color="auto"/>
          <w:lang w:val="en-US" w:eastAsia="en-US"/>
        </w:rPr>
        <w:t>available</w:t>
      </w:r>
      <w:r w:rsidRPr="00C43A44">
        <w:rPr>
          <w:rFonts w:eastAsia="MS Mincho" w:cs="Arial"/>
          <w:bdr w:val="none" w:sz="0" w:space="0" w:color="auto"/>
          <w:lang w:val="en-US" w:eastAsia="en-US"/>
        </w:rPr>
        <w:t xml:space="preserve"> clinical </w:t>
      </w:r>
      <w:r w:rsidR="00DE61E4">
        <w:rPr>
          <w:rFonts w:eastAsia="MS Mincho" w:cs="Arial"/>
          <w:bdr w:val="none" w:sz="0" w:space="0" w:color="auto"/>
          <w:lang w:val="en-US" w:eastAsia="en-US"/>
        </w:rPr>
        <w:t>data</w:t>
      </w:r>
      <w:r w:rsidRPr="00C43A44">
        <w:rPr>
          <w:rFonts w:eastAsia="MS Mincho" w:cs="Arial"/>
          <w:bdr w:val="none" w:sz="0" w:space="0" w:color="auto"/>
          <w:lang w:val="en-US" w:eastAsia="en-US"/>
        </w:rPr>
        <w:t xml:space="preserve"> should be evaluated for evidence of any </w:t>
      </w:r>
      <w:r w:rsidRPr="002D6EE2">
        <w:rPr>
          <w:rFonts w:eastAsia="MS Mincho" w:cs="Arial"/>
          <w:bdr w:val="none" w:sz="0" w:space="0" w:color="auto"/>
          <w:lang w:val="en-US" w:eastAsia="en-US"/>
        </w:rPr>
        <w:t>adverse effects. If no concern is identified for irritancy or sensitization, a</w:t>
      </w:r>
      <w:r w:rsidR="005F13CC" w:rsidRPr="000B7667">
        <w:rPr>
          <w:rFonts w:eastAsia="MS Mincho" w:cs="Arial"/>
          <w:bdr w:val="none" w:sz="0" w:space="0" w:color="auto"/>
          <w:lang w:val="en-US" w:eastAsia="en-US"/>
        </w:rPr>
        <w:t xml:space="preserve"> </w:t>
      </w:r>
      <w:r w:rsidR="005F13CC" w:rsidRPr="00637EB6">
        <w:rPr>
          <w:rFonts w:eastAsia="MS Mincho" w:cs="Arial"/>
          <w:bdr w:val="none" w:sz="0" w:space="0" w:color="auto"/>
          <w:lang w:val="en-US" w:eastAsia="en-US"/>
        </w:rPr>
        <w:t>systemic toxicity</w:t>
      </w:r>
      <w:r w:rsidRPr="002D6EE2">
        <w:rPr>
          <w:rFonts w:eastAsia="MS Mincho" w:cs="Arial"/>
          <w:bdr w:val="none" w:sz="0" w:space="0" w:color="auto"/>
          <w:lang w:val="en-US" w:eastAsia="en-US"/>
        </w:rPr>
        <w:t xml:space="preserve"> QT </w:t>
      </w:r>
      <w:r w:rsidR="005F13CC" w:rsidRPr="001A21F8">
        <w:rPr>
          <w:rFonts w:eastAsia="MS Mincho" w:cs="Arial"/>
          <w:bdr w:val="none" w:sz="0" w:space="0" w:color="auto"/>
          <w:lang w:val="en-US" w:eastAsia="en-US"/>
        </w:rPr>
        <w:t>aligned with parenteral</w:t>
      </w:r>
      <w:r w:rsidR="002D6EE2" w:rsidRPr="001A21F8">
        <w:rPr>
          <w:rFonts w:eastAsia="MS Mincho" w:cs="Arial"/>
          <w:bdr w:val="none" w:sz="0" w:space="0" w:color="auto"/>
          <w:lang w:val="en-US" w:eastAsia="en-US"/>
        </w:rPr>
        <w:t>, as presented in Table 1,</w:t>
      </w:r>
      <w:r w:rsidRPr="002D6EE2">
        <w:rPr>
          <w:rFonts w:eastAsia="MS Mincho" w:cs="Arial"/>
          <w:bdr w:val="none" w:sz="0" w:space="0" w:color="auto"/>
          <w:lang w:val="en-US" w:eastAsia="en-US"/>
        </w:rPr>
        <w:t xml:space="preserve"> is considered appropriate.</w:t>
      </w:r>
      <w:r w:rsidRPr="00C43A44">
        <w:rPr>
          <w:rFonts w:eastAsia="MS Mincho" w:cs="Arial"/>
          <w:bdr w:val="none" w:sz="0" w:space="0" w:color="auto"/>
          <w:lang w:val="en-US" w:eastAsia="en-US"/>
        </w:rPr>
        <w:t xml:space="preserve"> </w:t>
      </w:r>
    </w:p>
    <w:p w14:paraId="546806D6" w14:textId="07081842" w:rsidR="00C43A44" w:rsidRPr="00C05618" w:rsidRDefault="00EA0932" w:rsidP="00C05618">
      <w:pPr>
        <w:pStyle w:val="ICHTextOnly"/>
        <w:spacing w:before="120" w:after="120"/>
        <w:rPr>
          <w:u w:val="single"/>
        </w:rPr>
      </w:pPr>
      <w:r w:rsidRPr="00C05618">
        <w:rPr>
          <w:u w:val="single"/>
        </w:rPr>
        <w:t>Parenteral</w:t>
      </w:r>
      <w:r w:rsidR="00C43A44" w:rsidRPr="00C05618">
        <w:rPr>
          <w:u w:val="single"/>
        </w:rPr>
        <w:t xml:space="preserve"> Exposure</w:t>
      </w:r>
    </w:p>
    <w:p w14:paraId="17CCE80A" w14:textId="31CB1FF1" w:rsidR="00FE5813" w:rsidRDefault="00C43A44" w:rsidP="00C05618">
      <w:pPr>
        <w:pStyle w:val="ICHTextOnly"/>
        <w:spacing w:after="240"/>
        <w:rPr>
          <w:rFonts w:eastAsia="MS Mincho" w:cs="Arial"/>
          <w:bdr w:val="none" w:sz="0" w:space="0" w:color="auto"/>
          <w:lang w:val="en-US" w:eastAsia="en-US"/>
        </w:rPr>
      </w:pPr>
      <w:r w:rsidRPr="00C43A44">
        <w:rPr>
          <w:rFonts w:eastAsia="MS Mincho" w:cs="Arial"/>
          <w:bdr w:val="none" w:sz="0" w:space="0" w:color="auto"/>
          <w:lang w:val="en-US" w:eastAsia="en-US"/>
        </w:rPr>
        <w:t>Regarding potential risk for sensitization</w:t>
      </w:r>
      <w:r w:rsidR="00605E61">
        <w:rPr>
          <w:rFonts w:eastAsia="MS Mincho" w:cs="Arial"/>
          <w:bdr w:val="none" w:sz="0" w:space="0" w:color="auto"/>
          <w:lang w:val="en-US" w:eastAsia="en-US"/>
        </w:rPr>
        <w:t>,</w:t>
      </w:r>
      <w:r w:rsidRPr="00C43A44">
        <w:rPr>
          <w:rFonts w:eastAsia="MS Mincho" w:cs="Arial"/>
          <w:bdr w:val="none" w:sz="0" w:space="0" w:color="auto"/>
          <w:lang w:val="en-US" w:eastAsia="en-US"/>
        </w:rPr>
        <w:t xml:space="preserve"> a distinction should be made between the subcutaneous</w:t>
      </w:r>
      <w:r w:rsidR="00441815">
        <w:rPr>
          <w:rFonts w:eastAsia="MS Mincho" w:cs="Arial"/>
          <w:bdr w:val="none" w:sz="0" w:space="0" w:color="auto"/>
          <w:lang w:val="en-US" w:eastAsia="en-US"/>
        </w:rPr>
        <w:t>/intradermal</w:t>
      </w:r>
      <w:r w:rsidRPr="00C43A44">
        <w:rPr>
          <w:rFonts w:eastAsia="MS Mincho" w:cs="Arial"/>
          <w:bdr w:val="none" w:sz="0" w:space="0" w:color="auto"/>
          <w:lang w:val="en-US" w:eastAsia="en-US"/>
        </w:rPr>
        <w:t xml:space="preserve"> route and the intravenous/intramuscular</w:t>
      </w:r>
      <w:r w:rsidR="00FE0BC7">
        <w:rPr>
          <w:rFonts w:eastAsia="MS Mincho" w:cs="Arial"/>
          <w:bdr w:val="none" w:sz="0" w:space="0" w:color="auto"/>
          <w:lang w:val="en-US" w:eastAsia="en-US"/>
        </w:rPr>
        <w:t>/intraperitoneal</w:t>
      </w:r>
      <w:r w:rsidRPr="00C43A44">
        <w:rPr>
          <w:rFonts w:eastAsia="MS Mincho" w:cs="Arial"/>
          <w:bdr w:val="none" w:sz="0" w:space="0" w:color="auto"/>
          <w:lang w:val="en-US" w:eastAsia="en-US"/>
        </w:rPr>
        <w:t xml:space="preserve"> routes of exposure. For the subcutaneous route, the drug is administered in the vicinity of the same tissues and cells (i.e., Langerhans cells) that are pivotal in triggering dermal sensitization. Especially, when the leachable is not readily distributed and remains for more extended periods in the subcutis, the same modes of action may be activated. Consequently, available data on dermal sensitization potential can be informative when evaluating the sensitization potential for leachables </w:t>
      </w:r>
      <w:r w:rsidR="003A684C">
        <w:rPr>
          <w:rFonts w:eastAsia="MS Mincho" w:cs="Arial"/>
          <w:bdr w:val="none" w:sz="0" w:space="0" w:color="auto"/>
          <w:lang w:val="en-US" w:eastAsia="en-US"/>
        </w:rPr>
        <w:t>that</w:t>
      </w:r>
      <w:r w:rsidRPr="00C43A44">
        <w:rPr>
          <w:rFonts w:eastAsia="MS Mincho" w:cs="Arial"/>
          <w:bdr w:val="none" w:sz="0" w:space="0" w:color="auto"/>
          <w:lang w:val="en-US" w:eastAsia="en-US"/>
        </w:rPr>
        <w:t xml:space="preserve"> are administered subcutaneously. Likewise for products administered intradermally, dermal sensitization data may be of relevance. In contrast, dermally applied compounds need to penetrate the skin barrier first. To account for this difference a ten-fold lower threshold for subcutaneous and intradermal products as compared to dermal products is considered justified, i.e., 50 ppm instead of 500 ppm.</w:t>
      </w:r>
    </w:p>
    <w:p w14:paraId="34C9D443" w14:textId="0F69EFA7" w:rsidR="00C43A44" w:rsidRPr="00C43A44" w:rsidRDefault="00C43A44" w:rsidP="00C43A44">
      <w:pPr>
        <w:pStyle w:val="ICHTextOnly"/>
        <w:rPr>
          <w:rFonts w:eastAsia="MS Mincho" w:cs="Arial"/>
          <w:bdr w:val="none" w:sz="0" w:space="0" w:color="auto"/>
          <w:lang w:val="en-US" w:eastAsia="en-US"/>
        </w:rPr>
      </w:pPr>
      <w:r w:rsidRPr="00C43A44">
        <w:rPr>
          <w:rFonts w:eastAsia="MS Mincho" w:cs="Arial"/>
          <w:bdr w:val="none" w:sz="0" w:space="0" w:color="auto"/>
          <w:lang w:val="en-US" w:eastAsia="en-US"/>
        </w:rPr>
        <w:t>Several types of systemic hypersensitivity (Type I-IV) are known</w:t>
      </w:r>
      <w:r w:rsidR="00FE5813">
        <w:rPr>
          <w:rFonts w:eastAsia="MS Mincho" w:cs="Arial"/>
          <w:bdr w:val="none" w:sz="0" w:space="0" w:color="auto"/>
          <w:lang w:val="en-US" w:eastAsia="en-US"/>
        </w:rPr>
        <w:t>,</w:t>
      </w:r>
      <w:r w:rsidRPr="00C43A44">
        <w:rPr>
          <w:rFonts w:eastAsia="MS Mincho" w:cs="Arial"/>
          <w:bdr w:val="none" w:sz="0" w:space="0" w:color="auto"/>
          <w:lang w:val="en-US" w:eastAsia="en-US"/>
        </w:rPr>
        <w:t xml:space="preserve"> each having different modes of action. Type IV is dependent on hapten formation and thus shares some mechanistic aspects with dermal sensitization. However, contrary to dermal application, intramuscular and intravenous administered substances are rapidly distributed systemically, and large amounts are required to activate the immune system and induce sensitization. Since leachables are present at low concentrations in drug products, it is considered unlikely that sensitization potential will be of concern for drugs administered via intravenous or intramuscular injection. </w:t>
      </w:r>
    </w:p>
    <w:p w14:paraId="115F27AA" w14:textId="4640A9C5" w:rsidR="002B2A05" w:rsidRDefault="002B2A05" w:rsidP="002B2A05">
      <w:pPr>
        <w:pStyle w:val="Heading2"/>
        <w:rPr>
          <w:lang w:val="en-US" w:eastAsia="en-US"/>
        </w:rPr>
      </w:pPr>
      <w:bookmarkStart w:id="34" w:name="_Toc201662526"/>
      <w:r>
        <w:rPr>
          <w:lang w:val="en-US" w:eastAsia="en-US"/>
        </w:rPr>
        <w:lastRenderedPageBreak/>
        <w:t>Considerations for ICH S9 Products</w:t>
      </w:r>
      <w:bookmarkEnd w:id="34"/>
    </w:p>
    <w:p w14:paraId="69B69530" w14:textId="190AC5C0" w:rsidR="00570E3D" w:rsidRPr="00622D3E" w:rsidRDefault="002A5765" w:rsidP="00570E3D">
      <w:pPr>
        <w:pStyle w:val="ICHTextOnly"/>
      </w:pPr>
      <w:r>
        <w:t>For drug products within the scope of ICH S9, l</w:t>
      </w:r>
      <w:r w:rsidR="217ED904" w:rsidRPr="695951DC">
        <w:t xml:space="preserve">eachables should generally be identified according to the scientific principles outlined </w:t>
      </w:r>
      <w:r w:rsidR="217ED904" w:rsidRPr="695951DC" w:rsidDel="00B474C7">
        <w:t xml:space="preserve">in </w:t>
      </w:r>
      <w:r w:rsidR="009532B9">
        <w:t>Section 3</w:t>
      </w:r>
      <w:r w:rsidR="00E16387">
        <w:t xml:space="preserve"> above</w:t>
      </w:r>
      <w:r w:rsidR="00D87575">
        <w:t>. The safety risk</w:t>
      </w:r>
      <w:r w:rsidR="217ED904" w:rsidRPr="695951DC">
        <w:t xml:space="preserve"> assessment may be conducted </w:t>
      </w:r>
      <w:r w:rsidR="000D0FD9">
        <w:t>according to</w:t>
      </w:r>
      <w:r w:rsidR="003415CD">
        <w:t xml:space="preserve"> the</w:t>
      </w:r>
      <w:r w:rsidR="000D0FD9">
        <w:t xml:space="preserve"> ‘Evaluation of Impurities</w:t>
      </w:r>
      <w:r w:rsidR="00851463">
        <w:t xml:space="preserve">’ </w:t>
      </w:r>
      <w:r w:rsidR="00C21FB8">
        <w:t>Section in</w:t>
      </w:r>
      <w:r w:rsidR="00F429C8">
        <w:t xml:space="preserve"> </w:t>
      </w:r>
      <w:r w:rsidR="217ED904" w:rsidRPr="695951DC">
        <w:t xml:space="preserve">ICH S9. </w:t>
      </w:r>
      <w:r w:rsidR="00B07D25">
        <w:t>In this case</w:t>
      </w:r>
      <w:r w:rsidR="217ED904" w:rsidRPr="695951DC">
        <w:t xml:space="preserve">, the TTC would not be applicable and the SCT would be defined by the QT. </w:t>
      </w:r>
      <w:r w:rsidR="217ED904" w:rsidRPr="695951DC" w:rsidDel="00056DC8">
        <w:t>Risk</w:t>
      </w:r>
      <w:r w:rsidR="00056DC8" w:rsidRPr="695951DC">
        <w:t xml:space="preserve"> </w:t>
      </w:r>
      <w:r w:rsidR="217ED904" w:rsidRPr="695951DC">
        <w:t>assessment may be conducted with a focus on general safety for the intended patient population</w:t>
      </w:r>
      <w:r w:rsidR="00877FD6">
        <w:t xml:space="preserve"> and is</w:t>
      </w:r>
      <w:r w:rsidR="00016DB0">
        <w:t xml:space="preserve"> relevant for genotoxic APIs</w:t>
      </w:r>
      <w:r w:rsidR="00125F0C">
        <w:t xml:space="preserve"> covered by </w:t>
      </w:r>
      <w:r w:rsidR="006D4209">
        <w:t>ICH S9 Q&amp;A, 2018.</w:t>
      </w:r>
    </w:p>
    <w:p w14:paraId="1F75C016" w14:textId="16348707" w:rsidR="002B2A05" w:rsidRDefault="00570E3D" w:rsidP="00570E3D">
      <w:pPr>
        <w:pStyle w:val="Heading2"/>
        <w:rPr>
          <w:lang w:val="en-US" w:eastAsia="en-US"/>
        </w:rPr>
      </w:pPr>
      <w:bookmarkStart w:id="35" w:name="_Toc201662527"/>
      <w:r>
        <w:rPr>
          <w:lang w:val="en-US" w:eastAsia="en-US"/>
        </w:rPr>
        <w:t>Content of Safety Assessment</w:t>
      </w:r>
      <w:bookmarkEnd w:id="35"/>
    </w:p>
    <w:p w14:paraId="66FF311D" w14:textId="1CCBC8FE" w:rsidR="00551402" w:rsidRDefault="00551402" w:rsidP="00551402">
      <w:pPr>
        <w:pStyle w:val="ICHTextOnly"/>
      </w:pPr>
      <w:r w:rsidRPr="695951DC">
        <w:t xml:space="preserve">A </w:t>
      </w:r>
      <w:r w:rsidR="00E87D67">
        <w:t>safety assessment</w:t>
      </w:r>
      <w:r w:rsidRPr="695951DC">
        <w:t xml:space="preserve"> should be conducted for observed Class 1 leachables</w:t>
      </w:r>
      <w:r w:rsidR="00903526">
        <w:t>,</w:t>
      </w:r>
      <w:r w:rsidRPr="695951DC">
        <w:t xml:space="preserve"> Class 2 leachables detected at levels above the relevant SCT, </w:t>
      </w:r>
      <w:r w:rsidR="00903526">
        <w:t>and</w:t>
      </w:r>
      <w:r w:rsidRPr="695951DC">
        <w:t xml:space="preserve"> Class 3 leachables when present at levels above 1</w:t>
      </w:r>
      <w:r w:rsidR="0039355D">
        <w:t>.0</w:t>
      </w:r>
      <w:r w:rsidRPr="695951DC">
        <w:t xml:space="preserve"> mg/day. The </w:t>
      </w:r>
      <w:r w:rsidR="004E3451">
        <w:t>safety</w:t>
      </w:r>
      <w:r w:rsidR="004E3451" w:rsidRPr="695951DC">
        <w:t xml:space="preserve"> </w:t>
      </w:r>
      <w:r w:rsidRPr="695951DC">
        <w:t xml:space="preserve">assessment should provide sufficient information to conclude on the acceptability of the anticipated patient exposure levels. Further details on the information to be considered and the methodology for deriving an acceptable exposure level is provided in Appendix 5. </w:t>
      </w:r>
    </w:p>
    <w:p w14:paraId="4D5723BC" w14:textId="57C37995" w:rsidR="00E50F36" w:rsidRPr="001C57C8" w:rsidRDefault="00E50F36" w:rsidP="00E50F36">
      <w:pPr>
        <w:pStyle w:val="Heading1"/>
      </w:pPr>
      <w:bookmarkStart w:id="36" w:name="_Toc201662528"/>
      <w:r>
        <w:t>GLOSSARY</w:t>
      </w:r>
      <w:bookmarkEnd w:id="36"/>
    </w:p>
    <w:p w14:paraId="6F888B63" w14:textId="77777777" w:rsidR="002F2D89" w:rsidRDefault="0030163B" w:rsidP="0030163B">
      <w:pPr>
        <w:pStyle w:val="ICHTextOnly"/>
        <w:rPr>
          <w:szCs w:val="21"/>
          <w:bdr w:val="none" w:sz="0" w:space="0" w:color="auto"/>
        </w:rPr>
      </w:pPr>
      <w:bookmarkStart w:id="37" w:name="_Hlk196926076"/>
      <w:r w:rsidRPr="0030163B">
        <w:rPr>
          <w:b/>
          <w:bCs/>
          <w:szCs w:val="21"/>
          <w:bdr w:val="none" w:sz="0" w:space="0" w:color="auto"/>
        </w:rPr>
        <w:t>Analytical Evaluation Threshold (AET):</w:t>
      </w:r>
      <w:r w:rsidRPr="0030163B">
        <w:rPr>
          <w:szCs w:val="21"/>
          <w:bdr w:val="none" w:sz="0" w:space="0" w:color="auto"/>
        </w:rPr>
        <w:t xml:space="preserve"> </w:t>
      </w:r>
    </w:p>
    <w:p w14:paraId="339081F7" w14:textId="5C975B4A" w:rsidR="0030163B" w:rsidRPr="0030163B" w:rsidRDefault="0030163B" w:rsidP="0030163B">
      <w:pPr>
        <w:pStyle w:val="ICHTextOnly"/>
        <w:rPr>
          <w:szCs w:val="21"/>
          <w:bdr w:val="none" w:sz="0" w:space="0" w:color="auto"/>
        </w:rPr>
      </w:pPr>
      <w:r w:rsidRPr="0030163B">
        <w:rPr>
          <w:szCs w:val="21"/>
          <w:bdr w:val="none" w:sz="0" w:space="0" w:color="auto"/>
        </w:rPr>
        <w:t xml:space="preserve">The threshold above which an extractable or leachable should be identified, quantified, and reported for safety assessment. </w:t>
      </w:r>
    </w:p>
    <w:p w14:paraId="057BDFAA" w14:textId="77777777" w:rsidR="002F2D89" w:rsidRDefault="0030163B" w:rsidP="0030163B">
      <w:pPr>
        <w:pStyle w:val="ICHTextOnly"/>
        <w:rPr>
          <w:szCs w:val="21"/>
          <w:bdr w:val="none" w:sz="0" w:space="0" w:color="auto"/>
        </w:rPr>
      </w:pPr>
      <w:r w:rsidRPr="0030163B">
        <w:rPr>
          <w:b/>
          <w:bCs/>
          <w:szCs w:val="21"/>
          <w:bdr w:val="none" w:sz="0" w:space="0" w:color="auto"/>
        </w:rPr>
        <w:t>Chemical characterization:</w:t>
      </w:r>
      <w:r w:rsidRPr="0030163B">
        <w:rPr>
          <w:szCs w:val="21"/>
          <w:bdr w:val="none" w:sz="0" w:space="0" w:color="auto"/>
        </w:rPr>
        <w:t xml:space="preserve"> </w:t>
      </w:r>
    </w:p>
    <w:p w14:paraId="49D6B1A7" w14:textId="28349D1B" w:rsidR="0030163B" w:rsidRPr="0030163B" w:rsidRDefault="0030163B" w:rsidP="0030163B">
      <w:pPr>
        <w:pStyle w:val="ICHTextOnly"/>
        <w:rPr>
          <w:szCs w:val="21"/>
          <w:bdr w:val="none" w:sz="0" w:space="0" w:color="auto"/>
        </w:rPr>
      </w:pPr>
      <w:r w:rsidRPr="0030163B">
        <w:rPr>
          <w:szCs w:val="21"/>
          <w:bdr w:val="none" w:sz="0" w:space="0" w:color="auto"/>
        </w:rPr>
        <w:t>The process of obtaining chemical information about the composition of an item such as pharmaceutical packaging and a pharmaceutical manufacturing component.</w:t>
      </w:r>
    </w:p>
    <w:p w14:paraId="7A77D1D7" w14:textId="77777777" w:rsidR="002F2D89" w:rsidRDefault="0030163B" w:rsidP="0030163B">
      <w:pPr>
        <w:pStyle w:val="ICHTextOnly"/>
        <w:rPr>
          <w:szCs w:val="21"/>
          <w:bdr w:val="none" w:sz="0" w:space="0" w:color="auto"/>
        </w:rPr>
      </w:pPr>
      <w:r w:rsidRPr="0030163B">
        <w:rPr>
          <w:b/>
          <w:bCs/>
          <w:szCs w:val="21"/>
          <w:bdr w:val="none" w:sz="0" w:space="0" w:color="auto"/>
        </w:rPr>
        <w:t>Component:</w:t>
      </w:r>
      <w:r w:rsidRPr="0030163B">
        <w:rPr>
          <w:szCs w:val="21"/>
          <w:bdr w:val="none" w:sz="0" w:space="0" w:color="auto"/>
        </w:rPr>
        <w:t xml:space="preserve"> </w:t>
      </w:r>
    </w:p>
    <w:p w14:paraId="4C6A341A" w14:textId="4E85B4D9" w:rsidR="0030163B" w:rsidRPr="0030163B" w:rsidRDefault="0030163B" w:rsidP="0030163B">
      <w:pPr>
        <w:pStyle w:val="ICHTextOnly"/>
        <w:rPr>
          <w:szCs w:val="21"/>
          <w:bdr w:val="none" w:sz="0" w:space="0" w:color="auto"/>
        </w:rPr>
      </w:pPr>
      <w:r w:rsidRPr="0030163B">
        <w:rPr>
          <w:szCs w:val="21"/>
          <w:bdr w:val="none" w:sz="0" w:space="0" w:color="auto"/>
        </w:rPr>
        <w:t xml:space="preserve">A single item, composed of one or more materials of construction, that serves a single purpose or performs a single and specific task.  </w:t>
      </w:r>
    </w:p>
    <w:p w14:paraId="3440AFC5" w14:textId="77777777" w:rsidR="002F2D89" w:rsidRDefault="0030163B" w:rsidP="0030163B">
      <w:pPr>
        <w:pStyle w:val="ICHTextOnly"/>
        <w:rPr>
          <w:szCs w:val="21"/>
          <w:bdr w:val="none" w:sz="0" w:space="0" w:color="auto"/>
        </w:rPr>
      </w:pPr>
      <w:r w:rsidRPr="0030163B">
        <w:rPr>
          <w:b/>
          <w:bCs/>
          <w:szCs w:val="21"/>
          <w:bdr w:val="none" w:sz="0" w:space="0" w:color="auto"/>
        </w:rPr>
        <w:t>Extraction:</w:t>
      </w:r>
      <w:r w:rsidRPr="0030163B">
        <w:rPr>
          <w:szCs w:val="21"/>
          <w:bdr w:val="none" w:sz="0" w:space="0" w:color="auto"/>
        </w:rPr>
        <w:t xml:space="preserve"> </w:t>
      </w:r>
    </w:p>
    <w:p w14:paraId="215D9A85" w14:textId="4967F577" w:rsidR="0030163B" w:rsidRPr="0030163B" w:rsidRDefault="0030163B" w:rsidP="0030163B">
      <w:pPr>
        <w:pStyle w:val="ICHTextOnly"/>
        <w:rPr>
          <w:szCs w:val="21"/>
          <w:bdr w:val="none" w:sz="0" w:space="0" w:color="auto"/>
        </w:rPr>
      </w:pPr>
      <w:r w:rsidRPr="0030163B">
        <w:rPr>
          <w:szCs w:val="21"/>
          <w:bdr w:val="none" w:sz="0" w:space="0" w:color="auto"/>
        </w:rPr>
        <w:t xml:space="preserve">The chemical or physical process of transferring constituents of a test article into an extraction medium.    </w:t>
      </w:r>
    </w:p>
    <w:p w14:paraId="6B8A92AA" w14:textId="77777777" w:rsidR="002F2D89" w:rsidRDefault="0030163B" w:rsidP="0030163B">
      <w:pPr>
        <w:pStyle w:val="ICHTextOnly"/>
        <w:rPr>
          <w:szCs w:val="21"/>
          <w:bdr w:val="none" w:sz="0" w:space="0" w:color="auto"/>
        </w:rPr>
      </w:pPr>
      <w:r w:rsidRPr="0030163B">
        <w:rPr>
          <w:b/>
          <w:bCs/>
          <w:szCs w:val="21"/>
          <w:bdr w:val="none" w:sz="0" w:space="0" w:color="auto"/>
        </w:rPr>
        <w:t>Critical quality attribute:</w:t>
      </w:r>
      <w:r w:rsidRPr="0030163B">
        <w:rPr>
          <w:szCs w:val="21"/>
          <w:bdr w:val="none" w:sz="0" w:space="0" w:color="auto"/>
        </w:rPr>
        <w:t xml:space="preserve"> </w:t>
      </w:r>
    </w:p>
    <w:p w14:paraId="1EFDA853" w14:textId="5444B96E" w:rsidR="0030163B" w:rsidRPr="0030163B" w:rsidRDefault="0030163B" w:rsidP="0030163B">
      <w:pPr>
        <w:pStyle w:val="ICHTextOnly"/>
        <w:rPr>
          <w:szCs w:val="21"/>
          <w:bdr w:val="none" w:sz="0" w:space="0" w:color="auto"/>
        </w:rPr>
      </w:pPr>
      <w:r w:rsidRPr="0030163B">
        <w:rPr>
          <w:szCs w:val="21"/>
          <w:bdr w:val="none" w:sz="0" w:space="0" w:color="auto"/>
        </w:rPr>
        <w:t>A physical, chemical, biological or microbiological property or characteristic that should be within an appropriate limit, range, or distribution to ensure the desired product quality.</w:t>
      </w:r>
    </w:p>
    <w:p w14:paraId="6A836863" w14:textId="77777777" w:rsidR="002F2D89" w:rsidRDefault="0030163B" w:rsidP="0030163B">
      <w:pPr>
        <w:pStyle w:val="ICHTextOnly"/>
      </w:pPr>
      <w:r w:rsidRPr="78273F61">
        <w:rPr>
          <w:b/>
          <w:bdr w:val="none" w:sz="0" w:space="0" w:color="auto"/>
        </w:rPr>
        <w:t>Drug product:</w:t>
      </w:r>
      <w:r w:rsidRPr="0030163B">
        <w:rPr>
          <w:szCs w:val="21"/>
          <w:bdr w:val="none" w:sz="0" w:space="0" w:color="auto"/>
        </w:rPr>
        <w:t xml:space="preserve"> </w:t>
      </w:r>
    </w:p>
    <w:p w14:paraId="042F40FD" w14:textId="54EFCB70" w:rsidR="0030163B" w:rsidRPr="0030163B" w:rsidRDefault="0030163B" w:rsidP="0030163B">
      <w:pPr>
        <w:pStyle w:val="ICHTextOnly"/>
        <w:rPr>
          <w:szCs w:val="21"/>
          <w:bdr w:val="none" w:sz="0" w:space="0" w:color="auto"/>
        </w:rPr>
      </w:pPr>
      <w:r w:rsidRPr="0030163B">
        <w:rPr>
          <w:szCs w:val="21"/>
          <w:bdr w:val="none" w:sz="0" w:space="0" w:color="auto"/>
        </w:rPr>
        <w:t xml:space="preserve">The dosage form in the final immediate packaging intended for </w:t>
      </w:r>
      <w:r w:rsidR="00DD4D49">
        <w:rPr>
          <w:szCs w:val="21"/>
          <w:bdr w:val="none" w:sz="0" w:space="0" w:color="auto"/>
        </w:rPr>
        <w:t>marketing</w:t>
      </w:r>
      <w:r w:rsidRPr="0030163B">
        <w:rPr>
          <w:szCs w:val="21"/>
          <w:bdr w:val="none" w:sz="0" w:space="0" w:color="auto"/>
        </w:rPr>
        <w:t>.</w:t>
      </w:r>
    </w:p>
    <w:p w14:paraId="7D2FB238" w14:textId="77777777" w:rsidR="002F2D89" w:rsidRDefault="0030163B" w:rsidP="0030163B">
      <w:pPr>
        <w:pStyle w:val="ICHTextOnly"/>
      </w:pPr>
      <w:r w:rsidRPr="78273F61">
        <w:rPr>
          <w:b/>
          <w:bdr w:val="none" w:sz="0" w:space="0" w:color="auto"/>
        </w:rPr>
        <w:t>Drug substance:</w:t>
      </w:r>
      <w:r w:rsidRPr="0030163B">
        <w:rPr>
          <w:szCs w:val="21"/>
          <w:bdr w:val="none" w:sz="0" w:space="0" w:color="auto"/>
        </w:rPr>
        <w:t xml:space="preserve"> </w:t>
      </w:r>
    </w:p>
    <w:p w14:paraId="23DCCC4E" w14:textId="093FA3C5" w:rsidR="0030163B" w:rsidRPr="0030163B" w:rsidRDefault="0030163B" w:rsidP="0030163B">
      <w:pPr>
        <w:pStyle w:val="ICHTextOnly"/>
        <w:rPr>
          <w:szCs w:val="21"/>
          <w:bdr w:val="none" w:sz="0" w:space="0" w:color="auto"/>
        </w:rPr>
      </w:pPr>
      <w:r w:rsidRPr="0030163B">
        <w:rPr>
          <w:szCs w:val="21"/>
          <w:bdr w:val="none" w:sz="0" w:space="0" w:color="auto"/>
        </w:rPr>
        <w:lastRenderedPageBreak/>
        <w:t xml:space="preserve">The </w:t>
      </w:r>
      <w:r w:rsidR="006B3154">
        <w:rPr>
          <w:szCs w:val="21"/>
          <w:bdr w:val="none" w:sz="0" w:space="0" w:color="auto"/>
        </w:rPr>
        <w:t xml:space="preserve">unformulated </w:t>
      </w:r>
      <w:r w:rsidRPr="0030163B">
        <w:rPr>
          <w:szCs w:val="21"/>
          <w:bdr w:val="none" w:sz="0" w:space="0" w:color="auto"/>
        </w:rPr>
        <w:t>active</w:t>
      </w:r>
      <w:r w:rsidR="003A4605">
        <w:rPr>
          <w:szCs w:val="21"/>
          <w:bdr w:val="none" w:sz="0" w:space="0" w:color="auto"/>
        </w:rPr>
        <w:t xml:space="preserve"> pharmaceutical</w:t>
      </w:r>
      <w:r w:rsidRPr="0030163B">
        <w:rPr>
          <w:szCs w:val="21"/>
          <w:bdr w:val="none" w:sz="0" w:space="0" w:color="auto"/>
        </w:rPr>
        <w:t xml:space="preserve"> ingredient that may subsequently be formulated with excipients to produce the </w:t>
      </w:r>
      <w:r w:rsidR="006B3154">
        <w:rPr>
          <w:szCs w:val="21"/>
          <w:bdr w:val="none" w:sz="0" w:space="0" w:color="auto"/>
        </w:rPr>
        <w:t xml:space="preserve">dosage form (or </w:t>
      </w:r>
      <w:r w:rsidRPr="0030163B">
        <w:rPr>
          <w:szCs w:val="21"/>
          <w:bdr w:val="none" w:sz="0" w:space="0" w:color="auto"/>
        </w:rPr>
        <w:t>drug product</w:t>
      </w:r>
      <w:r w:rsidR="006B3154">
        <w:rPr>
          <w:szCs w:val="21"/>
          <w:bdr w:val="none" w:sz="0" w:space="0" w:color="auto"/>
        </w:rPr>
        <w:t>)</w:t>
      </w:r>
      <w:r w:rsidRPr="0030163B">
        <w:rPr>
          <w:szCs w:val="21"/>
          <w:bdr w:val="none" w:sz="0" w:space="0" w:color="auto"/>
        </w:rPr>
        <w:t>.</w:t>
      </w:r>
    </w:p>
    <w:p w14:paraId="15D32843" w14:textId="5E86E8DF" w:rsidR="002F2D89" w:rsidRDefault="0030163B" w:rsidP="0030163B">
      <w:pPr>
        <w:pStyle w:val="ICHTextOnly"/>
        <w:rPr>
          <w:szCs w:val="21"/>
          <w:bdr w:val="none" w:sz="0" w:space="0" w:color="auto"/>
        </w:rPr>
      </w:pPr>
      <w:r w:rsidRPr="0030163B">
        <w:rPr>
          <w:b/>
          <w:bCs/>
          <w:szCs w:val="21"/>
          <w:bdr w:val="none" w:sz="0" w:space="0" w:color="auto"/>
        </w:rPr>
        <w:t>Extractables Profile:</w:t>
      </w:r>
      <w:r w:rsidRPr="0030163B">
        <w:rPr>
          <w:szCs w:val="21"/>
          <w:bdr w:val="none" w:sz="0" w:space="0" w:color="auto"/>
        </w:rPr>
        <w:t xml:space="preserve"> </w:t>
      </w:r>
    </w:p>
    <w:p w14:paraId="68968E1F" w14:textId="6E9CF0EA" w:rsidR="0030163B" w:rsidRPr="0030163B" w:rsidRDefault="0030163B" w:rsidP="0030163B">
      <w:pPr>
        <w:pStyle w:val="ICHTextOnly"/>
        <w:rPr>
          <w:szCs w:val="21"/>
          <w:bdr w:val="none" w:sz="0" w:space="0" w:color="auto"/>
        </w:rPr>
      </w:pPr>
      <w:r w:rsidRPr="0030163B">
        <w:rPr>
          <w:szCs w:val="21"/>
          <w:bdr w:val="none" w:sz="0" w:space="0" w:color="auto"/>
        </w:rPr>
        <w:t>Qualitative or semi-quantitative/quantitative accounting of the extractables present in an extract.</w:t>
      </w:r>
    </w:p>
    <w:p w14:paraId="5DFE6291" w14:textId="54A8D8E7" w:rsidR="002F2D89" w:rsidRDefault="0030163B" w:rsidP="0030163B">
      <w:pPr>
        <w:pStyle w:val="ICHTextOnly"/>
        <w:rPr>
          <w:szCs w:val="21"/>
          <w:bdr w:val="none" w:sz="0" w:space="0" w:color="auto"/>
        </w:rPr>
      </w:pPr>
      <w:r w:rsidRPr="0030163B">
        <w:rPr>
          <w:b/>
          <w:bCs/>
          <w:szCs w:val="21"/>
          <w:bdr w:val="none" w:sz="0" w:space="0" w:color="auto"/>
        </w:rPr>
        <w:t>Leachables Profile:</w:t>
      </w:r>
      <w:r w:rsidRPr="0030163B">
        <w:rPr>
          <w:szCs w:val="21"/>
          <w:bdr w:val="none" w:sz="0" w:space="0" w:color="auto"/>
        </w:rPr>
        <w:t xml:space="preserve"> </w:t>
      </w:r>
    </w:p>
    <w:p w14:paraId="72D72788" w14:textId="0EEE1092" w:rsidR="0030163B" w:rsidRPr="0030163B" w:rsidRDefault="0030163B" w:rsidP="0030163B">
      <w:pPr>
        <w:pStyle w:val="ICHTextOnly"/>
        <w:rPr>
          <w:szCs w:val="21"/>
          <w:bdr w:val="none" w:sz="0" w:space="0" w:color="auto"/>
        </w:rPr>
      </w:pPr>
      <w:r w:rsidRPr="0030163B">
        <w:rPr>
          <w:szCs w:val="21"/>
          <w:bdr w:val="none" w:sz="0" w:space="0" w:color="auto"/>
        </w:rPr>
        <w:t>Qualitative and/or quantitative accounting of the leachables present in a drug product.</w:t>
      </w:r>
    </w:p>
    <w:p w14:paraId="6AD50717" w14:textId="77777777" w:rsidR="002F2D89" w:rsidRDefault="0030163B" w:rsidP="0030163B">
      <w:pPr>
        <w:pStyle w:val="ICHTextOnly"/>
        <w:rPr>
          <w:szCs w:val="21"/>
          <w:bdr w:val="none" w:sz="0" w:space="0" w:color="auto"/>
        </w:rPr>
      </w:pPr>
      <w:r w:rsidRPr="0030163B">
        <w:rPr>
          <w:b/>
          <w:bCs/>
          <w:szCs w:val="21"/>
          <w:bdr w:val="none" w:sz="0" w:space="0" w:color="auto"/>
        </w:rPr>
        <w:t>Lifecycle:</w:t>
      </w:r>
      <w:r w:rsidRPr="0030163B">
        <w:rPr>
          <w:szCs w:val="21"/>
          <w:bdr w:val="none" w:sz="0" w:space="0" w:color="auto"/>
        </w:rPr>
        <w:t xml:space="preserve"> </w:t>
      </w:r>
    </w:p>
    <w:p w14:paraId="02D8F223" w14:textId="1AB9F412" w:rsidR="0030163B" w:rsidRDefault="0030163B" w:rsidP="0030163B">
      <w:pPr>
        <w:pStyle w:val="ICHTextOnly"/>
        <w:rPr>
          <w:szCs w:val="21"/>
          <w:bdr w:val="none" w:sz="0" w:space="0" w:color="auto"/>
        </w:rPr>
      </w:pPr>
      <w:r w:rsidRPr="0030163B">
        <w:rPr>
          <w:szCs w:val="21"/>
          <w:bdr w:val="none" w:sz="0" w:space="0" w:color="auto"/>
        </w:rPr>
        <w:t xml:space="preserve">All phases in the life of a product from the initial development through marketing until the product’s discontinuation </w:t>
      </w:r>
    </w:p>
    <w:p w14:paraId="0B28B2CB" w14:textId="77777777" w:rsidR="002F2D89" w:rsidRDefault="0030163B" w:rsidP="0030163B">
      <w:pPr>
        <w:pStyle w:val="ICHTextOnly"/>
      </w:pPr>
      <w:r w:rsidRPr="78273F61">
        <w:rPr>
          <w:b/>
          <w:bdr w:val="none" w:sz="0" w:space="0" w:color="auto"/>
        </w:rPr>
        <w:t>Lowest-Observed (Adverse) Effect Level (LO(A)EL):</w:t>
      </w:r>
      <w:r w:rsidRPr="0030163B">
        <w:rPr>
          <w:szCs w:val="21"/>
          <w:bdr w:val="none" w:sz="0" w:space="0" w:color="auto"/>
        </w:rPr>
        <w:t xml:space="preserve"> </w:t>
      </w:r>
    </w:p>
    <w:p w14:paraId="1C9F0EE1" w14:textId="50EF65FE" w:rsidR="0030163B" w:rsidRPr="0030163B" w:rsidRDefault="0030163B" w:rsidP="0030163B">
      <w:pPr>
        <w:pStyle w:val="ICHTextOnly"/>
        <w:rPr>
          <w:szCs w:val="21"/>
          <w:bdr w:val="none" w:sz="0" w:space="0" w:color="auto"/>
        </w:rPr>
      </w:pPr>
      <w:r w:rsidRPr="0030163B">
        <w:rPr>
          <w:szCs w:val="21"/>
          <w:bdr w:val="none" w:sz="0" w:space="0" w:color="auto"/>
        </w:rPr>
        <w:t>The lowest dose of substance in a study or group of studies that produces biologically significant increases in frequency or severity of any (adverse) effects in the exposed humans or animals.</w:t>
      </w:r>
    </w:p>
    <w:p w14:paraId="5D4DDAE6" w14:textId="77777777" w:rsidR="002F2D89" w:rsidRDefault="0030163B" w:rsidP="0030163B">
      <w:pPr>
        <w:pStyle w:val="ICHTextOnly"/>
        <w:rPr>
          <w:szCs w:val="21"/>
          <w:bdr w:val="none" w:sz="0" w:space="0" w:color="auto"/>
        </w:rPr>
      </w:pPr>
      <w:r w:rsidRPr="002F2D89">
        <w:rPr>
          <w:b/>
          <w:bCs/>
          <w:szCs w:val="21"/>
          <w:bdr w:val="none" w:sz="0" w:space="0" w:color="auto"/>
        </w:rPr>
        <w:t>Read-across:</w:t>
      </w:r>
      <w:r w:rsidRPr="0030163B">
        <w:rPr>
          <w:szCs w:val="21"/>
          <w:bdr w:val="none" w:sz="0" w:space="0" w:color="auto"/>
        </w:rPr>
        <w:t xml:space="preserve"> </w:t>
      </w:r>
    </w:p>
    <w:p w14:paraId="1D0AA21C" w14:textId="78728B10" w:rsidR="0030163B" w:rsidRPr="0030163B" w:rsidRDefault="0030163B" w:rsidP="0030163B">
      <w:pPr>
        <w:pStyle w:val="ICHTextOnly"/>
        <w:rPr>
          <w:szCs w:val="21"/>
          <w:bdr w:val="none" w:sz="0" w:space="0" w:color="auto"/>
        </w:rPr>
      </w:pPr>
      <w:r w:rsidRPr="0030163B">
        <w:rPr>
          <w:szCs w:val="21"/>
          <w:bdr w:val="none" w:sz="0" w:space="0" w:color="auto"/>
        </w:rPr>
        <w:t>A technique for predicting endpoint information for one substance by using data from the same endpoint from (an)other structurally-related substance(s).</w:t>
      </w:r>
    </w:p>
    <w:p w14:paraId="25774EE7" w14:textId="77777777" w:rsidR="002F2D89" w:rsidRDefault="0030163B" w:rsidP="0030163B">
      <w:pPr>
        <w:pStyle w:val="ICHTextOnly"/>
        <w:rPr>
          <w:szCs w:val="21"/>
          <w:bdr w:val="none" w:sz="0" w:space="0" w:color="auto"/>
        </w:rPr>
      </w:pPr>
      <w:r w:rsidRPr="0030163B">
        <w:rPr>
          <w:b/>
          <w:bCs/>
          <w:szCs w:val="21"/>
          <w:bdr w:val="none" w:sz="0" w:space="0" w:color="auto"/>
        </w:rPr>
        <w:t>Margin of Safety:</w:t>
      </w:r>
      <w:r w:rsidRPr="0030163B">
        <w:rPr>
          <w:szCs w:val="21"/>
          <w:bdr w:val="none" w:sz="0" w:space="0" w:color="auto"/>
        </w:rPr>
        <w:t xml:space="preserve">  </w:t>
      </w:r>
    </w:p>
    <w:p w14:paraId="3BF9D3E1" w14:textId="43E78F75" w:rsidR="0030163B" w:rsidRPr="0030163B" w:rsidRDefault="0030163B" w:rsidP="0030163B">
      <w:pPr>
        <w:pStyle w:val="ICHTextOnly"/>
        <w:rPr>
          <w:szCs w:val="21"/>
          <w:bdr w:val="none" w:sz="0" w:space="0" w:color="auto"/>
        </w:rPr>
      </w:pPr>
      <w:r w:rsidRPr="0030163B">
        <w:rPr>
          <w:szCs w:val="21"/>
          <w:bdr w:val="none" w:sz="0" w:space="0" w:color="auto"/>
        </w:rPr>
        <w:t>A correlation between the PDE of the specific leachable and actual patient intake based on the daily dose.</w:t>
      </w:r>
    </w:p>
    <w:p w14:paraId="70A6D363" w14:textId="77777777" w:rsidR="002F2D89" w:rsidRDefault="0030163B" w:rsidP="0030163B">
      <w:pPr>
        <w:pStyle w:val="ICHTextOnly"/>
        <w:rPr>
          <w:szCs w:val="21"/>
          <w:bdr w:val="none" w:sz="0" w:space="0" w:color="auto"/>
        </w:rPr>
      </w:pPr>
      <w:r w:rsidRPr="0030163B">
        <w:rPr>
          <w:b/>
          <w:bCs/>
          <w:szCs w:val="21"/>
          <w:bdr w:val="none" w:sz="0" w:space="0" w:color="auto"/>
        </w:rPr>
        <w:t>Materials of construction:</w:t>
      </w:r>
      <w:r w:rsidRPr="0030163B">
        <w:rPr>
          <w:szCs w:val="21"/>
          <w:bdr w:val="none" w:sz="0" w:space="0" w:color="auto"/>
        </w:rPr>
        <w:t xml:space="preserve"> </w:t>
      </w:r>
    </w:p>
    <w:p w14:paraId="7A42320E" w14:textId="4E6415D8" w:rsidR="0030163B" w:rsidRPr="0030163B" w:rsidRDefault="0030163B" w:rsidP="0030163B">
      <w:pPr>
        <w:pStyle w:val="ICHTextOnly"/>
        <w:rPr>
          <w:szCs w:val="21"/>
          <w:bdr w:val="none" w:sz="0" w:space="0" w:color="auto"/>
        </w:rPr>
      </w:pPr>
      <w:r w:rsidRPr="0030163B">
        <w:rPr>
          <w:szCs w:val="21"/>
          <w:bdr w:val="none" w:sz="0" w:space="0" w:color="auto"/>
        </w:rPr>
        <w:t xml:space="preserve">Individual materials used to construct a packaging or manufacturing component or system. </w:t>
      </w:r>
    </w:p>
    <w:p w14:paraId="3E011F35" w14:textId="77777777" w:rsidR="002F2D89" w:rsidRDefault="0030163B" w:rsidP="0030163B">
      <w:pPr>
        <w:pStyle w:val="ICHTextOnly"/>
        <w:rPr>
          <w:szCs w:val="21"/>
          <w:bdr w:val="none" w:sz="0" w:space="0" w:color="auto"/>
        </w:rPr>
      </w:pPr>
      <w:r w:rsidRPr="0030163B">
        <w:rPr>
          <w:b/>
          <w:bCs/>
          <w:szCs w:val="21"/>
          <w:bdr w:val="none" w:sz="0" w:space="0" w:color="auto"/>
        </w:rPr>
        <w:t>New drug product:</w:t>
      </w:r>
      <w:r w:rsidRPr="0030163B">
        <w:rPr>
          <w:szCs w:val="21"/>
          <w:bdr w:val="none" w:sz="0" w:space="0" w:color="auto"/>
        </w:rPr>
        <w:t xml:space="preserve"> </w:t>
      </w:r>
    </w:p>
    <w:p w14:paraId="588742B0" w14:textId="4B21E628" w:rsidR="0030163B" w:rsidRPr="0030163B" w:rsidRDefault="0030163B" w:rsidP="0030163B">
      <w:pPr>
        <w:pStyle w:val="ICHTextOnly"/>
        <w:rPr>
          <w:szCs w:val="21"/>
          <w:bdr w:val="none" w:sz="0" w:space="0" w:color="auto"/>
        </w:rPr>
      </w:pPr>
      <w:r w:rsidRPr="0030163B">
        <w:rPr>
          <w:szCs w:val="21"/>
          <w:bdr w:val="none" w:sz="0" w:space="0" w:color="auto"/>
        </w:rPr>
        <w:t>A pharmaceutical product type, for example, tablet, capsule, solution, cream, which has not previously been registered in a region or Member State, and which contains a drug ingredient generally, but not necessarily, in association with excipients.</w:t>
      </w:r>
    </w:p>
    <w:p w14:paraId="75332377" w14:textId="35961261" w:rsidR="002F2D89" w:rsidRDefault="0030163B" w:rsidP="0030163B">
      <w:pPr>
        <w:pStyle w:val="ICHTextOnly"/>
      </w:pPr>
      <w:r w:rsidRPr="78273F61">
        <w:rPr>
          <w:b/>
          <w:bdr w:val="none" w:sz="0" w:space="0" w:color="auto"/>
        </w:rPr>
        <w:t>No Observed (Adverse) Effect Level (NO(A)EL):</w:t>
      </w:r>
      <w:r w:rsidRPr="0030163B">
        <w:rPr>
          <w:szCs w:val="21"/>
          <w:bdr w:val="none" w:sz="0" w:space="0" w:color="auto"/>
        </w:rPr>
        <w:t xml:space="preserve">  </w:t>
      </w:r>
    </w:p>
    <w:p w14:paraId="581640AA" w14:textId="1EF9EE2E" w:rsidR="0030163B" w:rsidRPr="0030163B" w:rsidRDefault="0030163B" w:rsidP="0030163B">
      <w:pPr>
        <w:pStyle w:val="ICHTextOnly"/>
        <w:rPr>
          <w:szCs w:val="21"/>
          <w:bdr w:val="none" w:sz="0" w:space="0" w:color="auto"/>
        </w:rPr>
      </w:pPr>
      <w:r w:rsidRPr="0030163B">
        <w:rPr>
          <w:szCs w:val="21"/>
          <w:bdr w:val="none" w:sz="0" w:space="0" w:color="auto"/>
        </w:rPr>
        <w:t>The highest concentration or amount of a leachable or extractable that does not cause any statistically or biologically significant (adverse) effects in the exposed population compared to a control group.</w:t>
      </w:r>
    </w:p>
    <w:p w14:paraId="70874E8A" w14:textId="77777777" w:rsidR="002F2D89" w:rsidRDefault="0030163B" w:rsidP="0030163B">
      <w:pPr>
        <w:pStyle w:val="ICHTextOnly"/>
        <w:rPr>
          <w:szCs w:val="21"/>
          <w:bdr w:val="none" w:sz="0" w:space="0" w:color="auto"/>
        </w:rPr>
      </w:pPr>
      <w:r w:rsidRPr="0030163B">
        <w:rPr>
          <w:b/>
          <w:bCs/>
          <w:szCs w:val="21"/>
          <w:bdr w:val="none" w:sz="0" w:space="0" w:color="auto"/>
        </w:rPr>
        <w:t>Permitted Daily Exposure (PDE):</w:t>
      </w:r>
      <w:r w:rsidRPr="0030163B">
        <w:rPr>
          <w:szCs w:val="21"/>
          <w:bdr w:val="none" w:sz="0" w:space="0" w:color="auto"/>
        </w:rPr>
        <w:t xml:space="preserve"> </w:t>
      </w:r>
    </w:p>
    <w:p w14:paraId="68BB94B8" w14:textId="6D3A5E81" w:rsidR="0030163B" w:rsidRPr="0030163B" w:rsidRDefault="0030163B" w:rsidP="0030163B">
      <w:pPr>
        <w:pStyle w:val="ICHTextOnly"/>
        <w:rPr>
          <w:bdr w:val="none" w:sz="0" w:space="0" w:color="auto"/>
        </w:rPr>
      </w:pPr>
      <w:r w:rsidRPr="78273F61">
        <w:rPr>
          <w:bdr w:val="none" w:sz="0" w:space="0" w:color="auto"/>
        </w:rPr>
        <w:t xml:space="preserve">The maximum acceptable intake per day of a leachable in pharmaceutical products </w:t>
      </w:r>
      <w:r w:rsidR="00C90356">
        <w:rPr>
          <w:bdr w:val="none" w:sz="0" w:space="0" w:color="auto"/>
        </w:rPr>
        <w:t xml:space="preserve">per day </w:t>
      </w:r>
      <w:r w:rsidR="007D4E78">
        <w:rPr>
          <w:bdr w:val="none" w:sz="0" w:space="0" w:color="auto"/>
        </w:rPr>
        <w:t>(for a lifetime)</w:t>
      </w:r>
      <w:r w:rsidRPr="78273F61">
        <w:rPr>
          <w:bdr w:val="none" w:sz="0" w:space="0" w:color="auto"/>
        </w:rPr>
        <w:t>.</w:t>
      </w:r>
    </w:p>
    <w:p w14:paraId="698F3AD1" w14:textId="4AFEA58A" w:rsidR="002F2D89" w:rsidRDefault="0030163B" w:rsidP="0030163B">
      <w:pPr>
        <w:pStyle w:val="ICHTextOnly"/>
        <w:rPr>
          <w:szCs w:val="21"/>
          <w:bdr w:val="none" w:sz="0" w:space="0" w:color="auto"/>
        </w:rPr>
      </w:pPr>
      <w:r w:rsidRPr="0030163B">
        <w:rPr>
          <w:b/>
          <w:bCs/>
          <w:szCs w:val="21"/>
          <w:bdr w:val="none" w:sz="0" w:space="0" w:color="auto"/>
        </w:rPr>
        <w:t>Point of Departure (</w:t>
      </w:r>
      <w:proofErr w:type="spellStart"/>
      <w:r w:rsidRPr="0030163B">
        <w:rPr>
          <w:b/>
          <w:bCs/>
          <w:szCs w:val="21"/>
          <w:bdr w:val="none" w:sz="0" w:space="0" w:color="auto"/>
        </w:rPr>
        <w:t>PoD</w:t>
      </w:r>
      <w:proofErr w:type="spellEnd"/>
      <w:r w:rsidRPr="0030163B">
        <w:rPr>
          <w:b/>
          <w:bCs/>
          <w:szCs w:val="21"/>
          <w:bdr w:val="none" w:sz="0" w:space="0" w:color="auto"/>
        </w:rPr>
        <w:t>):</w:t>
      </w:r>
      <w:r w:rsidRPr="0030163B">
        <w:rPr>
          <w:szCs w:val="21"/>
          <w:bdr w:val="none" w:sz="0" w:space="0" w:color="auto"/>
        </w:rPr>
        <w:t xml:space="preserve"> </w:t>
      </w:r>
    </w:p>
    <w:p w14:paraId="7F45444F" w14:textId="30B9F8EC" w:rsidR="0030163B" w:rsidRPr="0030163B" w:rsidRDefault="0030163B" w:rsidP="0030163B">
      <w:pPr>
        <w:pStyle w:val="ICHTextOnly"/>
        <w:rPr>
          <w:szCs w:val="21"/>
          <w:bdr w:val="none" w:sz="0" w:space="0" w:color="auto"/>
        </w:rPr>
      </w:pPr>
      <w:r w:rsidRPr="0030163B">
        <w:rPr>
          <w:szCs w:val="21"/>
          <w:bdr w:val="none" w:sz="0" w:space="0" w:color="auto"/>
        </w:rPr>
        <w:lastRenderedPageBreak/>
        <w:t>Starting point in the calculation of PDE of leachables; it can be derived from the human dose or appropriate animal study.</w:t>
      </w:r>
    </w:p>
    <w:p w14:paraId="37F9AF76" w14:textId="77777777" w:rsidR="002F2D89" w:rsidRDefault="0030163B" w:rsidP="0030163B">
      <w:pPr>
        <w:pStyle w:val="ICHTextOnly"/>
      </w:pPr>
      <w:r w:rsidRPr="78273F61">
        <w:rPr>
          <w:b/>
          <w:bdr w:val="none" w:sz="0" w:space="0" w:color="auto"/>
        </w:rPr>
        <w:t>Qualification Threshold (QT):</w:t>
      </w:r>
      <w:r w:rsidRPr="0030163B">
        <w:rPr>
          <w:szCs w:val="21"/>
          <w:bdr w:val="none" w:sz="0" w:space="0" w:color="auto"/>
        </w:rPr>
        <w:t xml:space="preserve"> </w:t>
      </w:r>
    </w:p>
    <w:p w14:paraId="1F5A995D" w14:textId="3AF7A2F1" w:rsidR="0030163B" w:rsidRPr="0030163B" w:rsidRDefault="0030163B" w:rsidP="0030163B">
      <w:pPr>
        <w:pStyle w:val="ICHTextOnly"/>
        <w:rPr>
          <w:szCs w:val="21"/>
          <w:bdr w:val="none" w:sz="0" w:space="0" w:color="auto"/>
        </w:rPr>
      </w:pPr>
      <w:r w:rsidRPr="0030163B">
        <w:rPr>
          <w:szCs w:val="21"/>
          <w:bdr w:val="none" w:sz="0" w:space="0" w:color="auto"/>
        </w:rPr>
        <w:t>Threshold</w:t>
      </w:r>
      <w:r w:rsidRPr="0030163B" w:rsidDel="008E7A63">
        <w:rPr>
          <w:szCs w:val="21"/>
          <w:bdr w:val="none" w:sz="0" w:space="0" w:color="auto"/>
        </w:rPr>
        <w:t xml:space="preserve"> </w:t>
      </w:r>
      <w:r w:rsidRPr="0030163B">
        <w:rPr>
          <w:szCs w:val="21"/>
          <w:bdr w:val="none" w:sz="0" w:space="0" w:color="auto"/>
        </w:rPr>
        <w:t xml:space="preserve">above which a leachable </w:t>
      </w:r>
      <w:r w:rsidR="00BE0C88">
        <w:rPr>
          <w:szCs w:val="21"/>
          <w:bdr w:val="none" w:sz="0" w:space="0" w:color="auto"/>
        </w:rPr>
        <w:t>should be qualified for</w:t>
      </w:r>
      <w:r w:rsidR="00442CF8">
        <w:rPr>
          <w:szCs w:val="21"/>
          <w:bdr w:val="none" w:sz="0" w:space="0" w:color="auto"/>
        </w:rPr>
        <w:t xml:space="preserve"> potential</w:t>
      </w:r>
      <w:r w:rsidR="004E3451" w:rsidRPr="0030163B" w:rsidDel="008E7A63">
        <w:rPr>
          <w:szCs w:val="21"/>
          <w:bdr w:val="none" w:sz="0" w:space="0" w:color="auto"/>
        </w:rPr>
        <w:t xml:space="preserve"> </w:t>
      </w:r>
      <w:r w:rsidRPr="0030163B">
        <w:rPr>
          <w:szCs w:val="21"/>
          <w:bdr w:val="none" w:sz="0" w:space="0" w:color="auto"/>
        </w:rPr>
        <w:t>non-mutagenic toxic</w:t>
      </w:r>
      <w:r w:rsidR="00442CF8">
        <w:rPr>
          <w:szCs w:val="21"/>
          <w:bdr w:val="none" w:sz="0" w:space="0" w:color="auto"/>
        </w:rPr>
        <w:t xml:space="preserve">ity </w:t>
      </w:r>
      <w:r w:rsidRPr="0030163B">
        <w:rPr>
          <w:szCs w:val="21"/>
          <w:bdr w:val="none" w:sz="0" w:space="0" w:color="auto"/>
        </w:rPr>
        <w:t xml:space="preserve">unless the leachable is identified as being </w:t>
      </w:r>
      <w:r w:rsidR="006D18D9">
        <w:rPr>
          <w:szCs w:val="21"/>
          <w:bdr w:val="none" w:sz="0" w:space="0" w:color="auto"/>
        </w:rPr>
        <w:t>Class 1</w:t>
      </w:r>
      <w:r w:rsidRPr="0030163B">
        <w:rPr>
          <w:szCs w:val="21"/>
          <w:bdr w:val="none" w:sz="0" w:space="0" w:color="auto"/>
        </w:rPr>
        <w:t xml:space="preserve">. </w:t>
      </w:r>
    </w:p>
    <w:p w14:paraId="2E27A23F" w14:textId="77777777" w:rsidR="002F2D89" w:rsidRDefault="0030163B" w:rsidP="0030163B">
      <w:pPr>
        <w:pStyle w:val="ICHTextOnly"/>
        <w:rPr>
          <w:szCs w:val="21"/>
          <w:bdr w:val="none" w:sz="0" w:space="0" w:color="auto"/>
        </w:rPr>
      </w:pPr>
      <w:r w:rsidRPr="0030163B">
        <w:rPr>
          <w:b/>
          <w:bCs/>
          <w:szCs w:val="21"/>
          <w:bdr w:val="none" w:sz="0" w:space="0" w:color="auto"/>
        </w:rPr>
        <w:t>Safety Concern Threshold (SCT):</w:t>
      </w:r>
      <w:r w:rsidRPr="0030163B">
        <w:rPr>
          <w:szCs w:val="21"/>
          <w:bdr w:val="none" w:sz="0" w:space="0" w:color="auto"/>
        </w:rPr>
        <w:t xml:space="preserve"> </w:t>
      </w:r>
    </w:p>
    <w:p w14:paraId="71BA58A1" w14:textId="0670A0C7" w:rsidR="0030163B" w:rsidRPr="0030163B" w:rsidRDefault="0030163B" w:rsidP="0030163B">
      <w:pPr>
        <w:pStyle w:val="ICHTextOnly"/>
        <w:rPr>
          <w:szCs w:val="21"/>
          <w:bdr w:val="none" w:sz="0" w:space="0" w:color="auto"/>
        </w:rPr>
      </w:pPr>
      <w:r w:rsidRPr="0030163B">
        <w:rPr>
          <w:szCs w:val="21"/>
          <w:bdr w:val="none" w:sz="0" w:space="0" w:color="auto"/>
        </w:rPr>
        <w:t xml:space="preserve">Threshold </w:t>
      </w:r>
      <w:r w:rsidR="001D6953">
        <w:rPr>
          <w:szCs w:val="21"/>
          <w:bdr w:val="none" w:sz="0" w:space="0" w:color="auto"/>
        </w:rPr>
        <w:t xml:space="preserve">at or </w:t>
      </w:r>
      <w:r w:rsidRPr="0030163B">
        <w:rPr>
          <w:szCs w:val="21"/>
          <w:bdr w:val="none" w:sz="0" w:space="0" w:color="auto"/>
        </w:rPr>
        <w:t>below which a leachable would have a dose so low as to present negligible safety concerns from mutagenic and non-mutagenic toxic effects unless the leachable is identified as being a leachable of high concern.</w:t>
      </w:r>
    </w:p>
    <w:p w14:paraId="32282CD1" w14:textId="77777777" w:rsidR="00D47F94" w:rsidRDefault="00D47F94" w:rsidP="0030163B">
      <w:pPr>
        <w:pStyle w:val="ICHTextOnly"/>
        <w:rPr>
          <w:b/>
          <w:bdr w:val="none" w:sz="0" w:space="0" w:color="auto"/>
        </w:rPr>
      </w:pPr>
      <w:r>
        <w:rPr>
          <w:b/>
          <w:bdr w:val="none" w:sz="0" w:space="0" w:color="auto"/>
        </w:rPr>
        <w:t>Simulated Drug Product:</w:t>
      </w:r>
    </w:p>
    <w:p w14:paraId="32124438" w14:textId="76A1B5AA" w:rsidR="00D47F94" w:rsidRPr="00DC7544" w:rsidRDefault="00BA1859" w:rsidP="0030163B">
      <w:pPr>
        <w:pStyle w:val="ICHTextOnly"/>
        <w:rPr>
          <w:bCs/>
          <w:bdr w:val="none" w:sz="0" w:space="0" w:color="auto"/>
        </w:rPr>
      </w:pPr>
      <w:r>
        <w:rPr>
          <w:bCs/>
          <w:bdr w:val="none" w:sz="0" w:space="0" w:color="auto"/>
        </w:rPr>
        <w:t>M</w:t>
      </w:r>
      <w:r w:rsidR="00DC7544" w:rsidRPr="00DC7544">
        <w:rPr>
          <w:bCs/>
          <w:bdr w:val="none" w:sz="0" w:space="0" w:color="auto"/>
        </w:rPr>
        <w:t xml:space="preserve">atrix or solvent that mimics closely the leaching characteristics of the drug product formulation with respect to leaching propensity and solubility of leachables.  </w:t>
      </w:r>
    </w:p>
    <w:p w14:paraId="025B8903" w14:textId="77777777" w:rsidR="002F2D89" w:rsidRDefault="0030163B" w:rsidP="0030163B">
      <w:pPr>
        <w:pStyle w:val="ICHTextOnly"/>
      </w:pPr>
      <w:r w:rsidRPr="78273F61">
        <w:rPr>
          <w:b/>
          <w:bdr w:val="none" w:sz="0" w:space="0" w:color="auto"/>
        </w:rPr>
        <w:t>Substance (Compound, Chemical, Chemical Entity):</w:t>
      </w:r>
      <w:r w:rsidRPr="0030163B">
        <w:rPr>
          <w:szCs w:val="21"/>
          <w:bdr w:val="none" w:sz="0" w:space="0" w:color="auto"/>
        </w:rPr>
        <w:t xml:space="preserve"> </w:t>
      </w:r>
    </w:p>
    <w:p w14:paraId="14E6FC25" w14:textId="0F6A76C8" w:rsidR="0030163B" w:rsidRPr="0030163B" w:rsidRDefault="0030163B" w:rsidP="0030163B">
      <w:pPr>
        <w:pStyle w:val="ICHTextOnly"/>
        <w:rPr>
          <w:szCs w:val="21"/>
          <w:bdr w:val="none" w:sz="0" w:space="0" w:color="auto"/>
        </w:rPr>
      </w:pPr>
      <w:r w:rsidRPr="0030163B">
        <w:rPr>
          <w:szCs w:val="21"/>
          <w:bdr w:val="none" w:sz="0" w:space="0" w:color="auto"/>
        </w:rPr>
        <w:t>An association of different elements or chemical entities which have a definite chemical composition and distinct chemical properties.</w:t>
      </w:r>
    </w:p>
    <w:p w14:paraId="72D77076" w14:textId="77777777" w:rsidR="002F2D89" w:rsidRDefault="0030163B" w:rsidP="0030163B">
      <w:pPr>
        <w:pStyle w:val="ICHTextOnly"/>
      </w:pPr>
      <w:r w:rsidRPr="78273F61">
        <w:rPr>
          <w:b/>
          <w:bdr w:val="none" w:sz="0" w:space="0" w:color="auto"/>
        </w:rPr>
        <w:t>System:</w:t>
      </w:r>
      <w:r w:rsidRPr="0030163B">
        <w:rPr>
          <w:szCs w:val="21"/>
          <w:bdr w:val="none" w:sz="0" w:space="0" w:color="auto"/>
        </w:rPr>
        <w:t xml:space="preserve"> </w:t>
      </w:r>
    </w:p>
    <w:p w14:paraId="7C63E164" w14:textId="4569F187" w:rsidR="0030163B" w:rsidRPr="0030163B" w:rsidRDefault="0030163B" w:rsidP="0030163B">
      <w:pPr>
        <w:pStyle w:val="ICHTextOnly"/>
        <w:rPr>
          <w:szCs w:val="21"/>
          <w:bdr w:val="none" w:sz="0" w:space="0" w:color="auto"/>
        </w:rPr>
      </w:pPr>
      <w:r w:rsidRPr="0030163B">
        <w:rPr>
          <w:szCs w:val="21"/>
          <w:bdr w:val="none" w:sz="0" w:space="0" w:color="auto"/>
        </w:rPr>
        <w:t xml:space="preserve">The sum of individual components (or assemblies) which together perform a specific function, </w:t>
      </w:r>
      <w:r w:rsidR="00AB1AA7">
        <w:rPr>
          <w:szCs w:val="21"/>
          <w:bdr w:val="none" w:sz="0" w:space="0" w:color="auto"/>
        </w:rPr>
        <w:t>such as</w:t>
      </w:r>
      <w:r w:rsidRPr="0030163B">
        <w:rPr>
          <w:szCs w:val="21"/>
          <w:bdr w:val="none" w:sz="0" w:space="0" w:color="auto"/>
        </w:rPr>
        <w:t xml:space="preserve"> manufacturing, delivery or storage</w:t>
      </w:r>
      <w:r w:rsidR="006D18D9">
        <w:rPr>
          <w:szCs w:val="21"/>
          <w:bdr w:val="none" w:sz="0" w:space="0" w:color="auto"/>
        </w:rPr>
        <w:t>/packaging</w:t>
      </w:r>
      <w:r w:rsidRPr="0030163B">
        <w:rPr>
          <w:szCs w:val="21"/>
          <w:bdr w:val="none" w:sz="0" w:space="0" w:color="auto"/>
        </w:rPr>
        <w:t xml:space="preserve">. </w:t>
      </w:r>
    </w:p>
    <w:p w14:paraId="214B7AC1" w14:textId="77777777" w:rsidR="002F2D89" w:rsidRDefault="0030163B" w:rsidP="0030163B">
      <w:pPr>
        <w:pStyle w:val="ICHTextOnly"/>
        <w:rPr>
          <w:szCs w:val="21"/>
          <w:bdr w:val="none" w:sz="0" w:space="0" w:color="auto"/>
        </w:rPr>
      </w:pPr>
      <w:r w:rsidRPr="0030163B">
        <w:rPr>
          <w:b/>
          <w:bCs/>
          <w:szCs w:val="21"/>
          <w:bdr w:val="none" w:sz="0" w:space="0" w:color="auto"/>
        </w:rPr>
        <w:t>Threshold of Toxicological Concern (TTC):</w:t>
      </w:r>
      <w:r w:rsidRPr="0030163B">
        <w:rPr>
          <w:szCs w:val="21"/>
          <w:bdr w:val="none" w:sz="0" w:space="0" w:color="auto"/>
        </w:rPr>
        <w:t xml:space="preserve"> </w:t>
      </w:r>
    </w:p>
    <w:p w14:paraId="12DD44F8" w14:textId="6B632D56" w:rsidR="0030163B" w:rsidRDefault="004E3451" w:rsidP="0030163B">
      <w:pPr>
        <w:pStyle w:val="ICHTextOnly"/>
        <w:rPr>
          <w:szCs w:val="21"/>
          <w:bdr w:val="none" w:sz="0" w:space="0" w:color="auto"/>
        </w:rPr>
      </w:pPr>
      <w:r>
        <w:rPr>
          <w:szCs w:val="21"/>
          <w:bdr w:val="none" w:sz="0" w:space="0" w:color="auto"/>
        </w:rPr>
        <w:t>T</w:t>
      </w:r>
      <w:r w:rsidR="0030163B" w:rsidRPr="0030163B">
        <w:rPr>
          <w:szCs w:val="21"/>
          <w:bdr w:val="none" w:sz="0" w:space="0" w:color="auto"/>
        </w:rPr>
        <w:t xml:space="preserve">hreshold </w:t>
      </w:r>
      <w:r w:rsidR="00D86E99">
        <w:rPr>
          <w:szCs w:val="21"/>
          <w:bdr w:val="none" w:sz="0" w:space="0" w:color="auto"/>
        </w:rPr>
        <w:t xml:space="preserve">at or </w:t>
      </w:r>
      <w:r w:rsidR="0030163B" w:rsidRPr="0030163B">
        <w:rPr>
          <w:szCs w:val="21"/>
          <w:bdr w:val="none" w:sz="0" w:space="0" w:color="auto"/>
        </w:rPr>
        <w:t xml:space="preserve">below which a leachable is not considered for safety assessment </w:t>
      </w:r>
      <w:r w:rsidR="0030163B" w:rsidRPr="0030163B" w:rsidDel="008E7A63">
        <w:rPr>
          <w:szCs w:val="21"/>
          <w:bdr w:val="none" w:sz="0" w:space="0" w:color="auto"/>
        </w:rPr>
        <w:t xml:space="preserve">for </w:t>
      </w:r>
      <w:r w:rsidR="0030163B" w:rsidRPr="0030163B">
        <w:rPr>
          <w:szCs w:val="21"/>
          <w:bdr w:val="none" w:sz="0" w:space="0" w:color="auto"/>
        </w:rPr>
        <w:t>mutagenic effects as described in ICH M7.</w:t>
      </w:r>
    </w:p>
    <w:p w14:paraId="3C9A26A1" w14:textId="77777777" w:rsidR="00A743E6" w:rsidRDefault="00A743E6" w:rsidP="00A743E6">
      <w:pPr>
        <w:pStyle w:val="Heading1"/>
      </w:pPr>
      <w:bookmarkStart w:id="38" w:name="_Toc201662529"/>
      <w:bookmarkStart w:id="39" w:name="_Toc193885948"/>
      <w:bookmarkEnd w:id="37"/>
      <w:r w:rsidRPr="00E55793">
        <w:t>REFERENCES</w:t>
      </w:r>
      <w:bookmarkEnd w:id="38"/>
    </w:p>
    <w:p w14:paraId="6190BD20" w14:textId="77777777" w:rsidR="00B26A14" w:rsidRDefault="00B26A14" w:rsidP="00B26A14">
      <w:pPr>
        <w:pStyle w:val="ICHTextOnly"/>
      </w:pPr>
      <w:r w:rsidRPr="001861D0">
        <w:t xml:space="preserve">International </w:t>
      </w:r>
      <w:r>
        <w:t>Conference on Harmonisation (2006). Q3A(R2): Impurities in New Drug Substances.</w:t>
      </w:r>
    </w:p>
    <w:p w14:paraId="08B463BF" w14:textId="77777777" w:rsidR="00B26A14" w:rsidRDefault="00B26A14" w:rsidP="00B26A14">
      <w:pPr>
        <w:pStyle w:val="ICHTextOnly"/>
      </w:pPr>
      <w:r w:rsidRPr="001861D0">
        <w:t xml:space="preserve">International </w:t>
      </w:r>
      <w:r>
        <w:t>Conference on Harmonisation (2006). Q3B(R2): Impurities in New Drug Products.</w:t>
      </w:r>
    </w:p>
    <w:p w14:paraId="0B63582D" w14:textId="3D5212E0" w:rsidR="00B26A14" w:rsidRDefault="00B26A14" w:rsidP="00B26A14">
      <w:pPr>
        <w:pStyle w:val="ICHTextOnly"/>
      </w:pPr>
      <w:r w:rsidRPr="001861D0">
        <w:t xml:space="preserve">International </w:t>
      </w:r>
      <w:r w:rsidR="00961CA9">
        <w:t>Council</w:t>
      </w:r>
      <w:r>
        <w:t xml:space="preserve"> </w:t>
      </w:r>
      <w:r w:rsidR="00132A0E">
        <w:t>for</w:t>
      </w:r>
      <w:r>
        <w:t xml:space="preserve"> Harmonisation (2024). Q3C(R9): Guideline for Residual Solvents.</w:t>
      </w:r>
    </w:p>
    <w:p w14:paraId="7D3A7C41" w14:textId="5F5D5C85" w:rsidR="00B26A14" w:rsidRDefault="00B26A14" w:rsidP="00B26A14">
      <w:pPr>
        <w:pStyle w:val="ICHTextOnly"/>
      </w:pPr>
      <w:r w:rsidRPr="001861D0">
        <w:t xml:space="preserve">International </w:t>
      </w:r>
      <w:r w:rsidR="00961CA9">
        <w:t xml:space="preserve">Council </w:t>
      </w:r>
      <w:r w:rsidR="00132A0E">
        <w:t>for</w:t>
      </w:r>
      <w:r>
        <w:t xml:space="preserve"> Harmonisation (2022). Q3D(R2): Guideline for Elemental Impurities.</w:t>
      </w:r>
    </w:p>
    <w:p w14:paraId="47BDB583" w14:textId="077C72CA" w:rsidR="00B26A14" w:rsidRDefault="00B26A14" w:rsidP="00B26A14">
      <w:pPr>
        <w:pStyle w:val="ICHTextOnly"/>
      </w:pPr>
      <w:r w:rsidRPr="001861D0">
        <w:t xml:space="preserve">International </w:t>
      </w:r>
      <w:r w:rsidR="00961CA9">
        <w:t xml:space="preserve">Council </w:t>
      </w:r>
      <w:r w:rsidR="00132A0E">
        <w:t>for</w:t>
      </w:r>
      <w:r>
        <w:t xml:space="preserve"> Harmonisation (2023). M7(R2): Assessment and Control of DNA Reactive (Mutagenic) Impurities in Pharmaceuticals to Limit Potential Carcinogenic Risk.</w:t>
      </w:r>
    </w:p>
    <w:p w14:paraId="53E92BA5" w14:textId="7F14CBC7" w:rsidR="00B26A14" w:rsidRDefault="00B26A14" w:rsidP="00B26A14">
      <w:pPr>
        <w:pStyle w:val="ICHTextOnly"/>
      </w:pPr>
      <w:r w:rsidRPr="001861D0">
        <w:t xml:space="preserve">International </w:t>
      </w:r>
      <w:r w:rsidR="00961CA9">
        <w:t xml:space="preserve">Council </w:t>
      </w:r>
      <w:r w:rsidR="00132A0E">
        <w:t>for</w:t>
      </w:r>
      <w:r>
        <w:t xml:space="preserve"> Harmonisation (2023). Q9(R1): Quality Risk Management.</w:t>
      </w:r>
    </w:p>
    <w:p w14:paraId="0E036A82" w14:textId="2696A3C9" w:rsidR="0042474B" w:rsidRDefault="0042474B" w:rsidP="00B26A14">
      <w:pPr>
        <w:pStyle w:val="ICHTextOnly"/>
      </w:pPr>
      <w:r w:rsidRPr="001861D0">
        <w:t xml:space="preserve">International </w:t>
      </w:r>
      <w:r w:rsidR="00FD67BF">
        <w:t xml:space="preserve">Conference on </w:t>
      </w:r>
      <w:r>
        <w:t>Harmonisation (20</w:t>
      </w:r>
      <w:r w:rsidR="004A6635">
        <w:t>09</w:t>
      </w:r>
      <w:r>
        <w:t xml:space="preserve">). </w:t>
      </w:r>
      <w:r w:rsidR="004A6635">
        <w:t>S9</w:t>
      </w:r>
      <w:r>
        <w:t xml:space="preserve">: </w:t>
      </w:r>
      <w:r w:rsidR="000651C3">
        <w:t>Nonclinical Evaluation for Anticancer Pharmaceuticals</w:t>
      </w:r>
      <w:r w:rsidR="00B71DEE">
        <w:t>.</w:t>
      </w:r>
    </w:p>
    <w:p w14:paraId="1AEED49A" w14:textId="5714DC07" w:rsidR="00125F0C" w:rsidRDefault="00125F0C" w:rsidP="00125F0C">
      <w:pPr>
        <w:pStyle w:val="ICHTextOnly"/>
      </w:pPr>
      <w:r w:rsidRPr="001861D0">
        <w:lastRenderedPageBreak/>
        <w:t xml:space="preserve">International </w:t>
      </w:r>
      <w:r w:rsidR="00961CA9">
        <w:t xml:space="preserve">Council </w:t>
      </w:r>
      <w:r w:rsidR="0080321E">
        <w:t>for</w:t>
      </w:r>
      <w:r>
        <w:t xml:space="preserve"> Harmonisation (2018). S9: Nonclinical Evaluation for Anticancer Pharmaceuticals Questions and Answers</w:t>
      </w:r>
      <w:r w:rsidR="00B71DEE">
        <w:t>.</w:t>
      </w:r>
    </w:p>
    <w:p w14:paraId="50EB14A2" w14:textId="77777777" w:rsidR="00125F0C" w:rsidRDefault="00125F0C" w:rsidP="00B26A14">
      <w:pPr>
        <w:pStyle w:val="ICHTextOnly"/>
      </w:pPr>
    </w:p>
    <w:p w14:paraId="28078DBC" w14:textId="77777777" w:rsidR="00B26A14" w:rsidRDefault="00B26A14" w:rsidP="00B26A14">
      <w:pPr>
        <w:pStyle w:val="ICHTextOnly"/>
        <w:numPr>
          <w:ilvl w:val="0"/>
          <w:numId w:val="19"/>
        </w:numPr>
      </w:pPr>
      <w:r w:rsidRPr="00663A4C">
        <w:rPr>
          <w:lang w:val="de-DE"/>
        </w:rPr>
        <w:t xml:space="preserve">Chilton ML, Api AM, Foster RS, Gerberick GF, Lavelle M, Macmillan DS, et al. </w:t>
      </w:r>
      <w:r w:rsidRPr="00CB1031">
        <w:t xml:space="preserve">Updating the Dermal Sensitisation Thresholds using an expanded dataset and an </w:t>
      </w:r>
      <w:proofErr w:type="gramStart"/>
      <w:r w:rsidRPr="00CB1031">
        <w:t>in silico</w:t>
      </w:r>
      <w:proofErr w:type="gramEnd"/>
      <w:r w:rsidRPr="00CB1031">
        <w:t xml:space="preserve"> expert system.</w:t>
      </w:r>
      <w:r>
        <w:t xml:space="preserve"> </w:t>
      </w:r>
      <w:r w:rsidRPr="00CB1031">
        <w:t>Regul Toxicol Pharmacol.</w:t>
      </w:r>
      <w:r>
        <w:t xml:space="preserve"> 2022; </w:t>
      </w:r>
      <w:proofErr w:type="gramStart"/>
      <w:r w:rsidRPr="00CB1031">
        <w:t>Aug;133:105200</w:t>
      </w:r>
      <w:proofErr w:type="gramEnd"/>
      <w:r>
        <w:t>,</w:t>
      </w:r>
    </w:p>
    <w:p w14:paraId="44D52C54" w14:textId="6DE9EEE3" w:rsidR="00B26A14" w:rsidRDefault="00B26A14" w:rsidP="00B26A14">
      <w:pPr>
        <w:pStyle w:val="ICHTextOnly"/>
        <w:numPr>
          <w:ilvl w:val="0"/>
          <w:numId w:val="19"/>
        </w:numPr>
      </w:pPr>
      <w:r w:rsidRPr="003661AE">
        <w:t xml:space="preserve">Parris P, Whelan G, Burild A, Whritenour J, Bruen U, Bercu J, </w:t>
      </w:r>
      <w:r w:rsidR="00752D3F">
        <w:t>et al</w:t>
      </w:r>
      <w:r w:rsidRPr="003661AE">
        <w:t>. Sensitization Assessment of Extractables and Leachables in Pharmaceuticals: ELSIE Database Analysis. PDA J Pharm Sci Technol. 2024 Aug 23;78(4):399-444.</w:t>
      </w:r>
    </w:p>
    <w:p w14:paraId="7C4DA116" w14:textId="25395FAA" w:rsidR="00B26A14" w:rsidRPr="00B26A14" w:rsidRDefault="00314349" w:rsidP="00637EB6">
      <w:pPr>
        <w:pStyle w:val="ICHTextOnly"/>
        <w:numPr>
          <w:ilvl w:val="0"/>
          <w:numId w:val="19"/>
        </w:numPr>
      </w:pPr>
      <w:r w:rsidRPr="00314349">
        <w:t>Ball D, Blanchard J, Jacobson-Kram D, McClellan RO, McGovern T, Norwood DL,</w:t>
      </w:r>
      <w:r w:rsidR="003D3778">
        <w:t xml:space="preserve"> et al</w:t>
      </w:r>
      <w:r w:rsidR="00D470C0">
        <w:t xml:space="preserve">. </w:t>
      </w:r>
      <w:r w:rsidR="003D3778">
        <w:t>Development of Safety Qualification Thresholds and Their Use in Orally Inhaled and Nasal Drug Product Evaluation.</w:t>
      </w:r>
      <w:r w:rsidR="00B531C9">
        <w:t xml:space="preserve"> </w:t>
      </w:r>
      <w:r w:rsidR="00B531C9" w:rsidRPr="00B531C9">
        <w:t>Toxicol Sci. 2007 Jun;97(2):226-36.</w:t>
      </w:r>
    </w:p>
    <w:p w14:paraId="00C8C5EF" w14:textId="111A5AE0" w:rsidR="00A743E6" w:rsidRDefault="00A743E6" w:rsidP="00A74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eastAsia="MS Gothic" w:hAnsi="Times New Roman" w:cs="Times New Roman"/>
          <w:b/>
          <w:color w:val="auto"/>
          <w:sz w:val="24"/>
          <w:szCs w:val="24"/>
          <w:bdr w:val="none" w:sz="0" w:space="0" w:color="auto"/>
        </w:rPr>
      </w:pPr>
    </w:p>
    <w:p w14:paraId="1BB8AB69" w14:textId="30E45A03" w:rsidR="00220FE3" w:rsidRPr="00F91689" w:rsidRDefault="00A743E6" w:rsidP="00220FE3">
      <w:pPr>
        <w:pStyle w:val="Heading1"/>
        <w:numPr>
          <w:ilvl w:val="0"/>
          <w:numId w:val="0"/>
        </w:numPr>
        <w:ind w:left="425" w:hanging="425"/>
      </w:pPr>
      <w:bookmarkStart w:id="40" w:name="_Toc201662530"/>
      <w:r w:rsidRPr="00F91689">
        <w:t>Appe</w:t>
      </w:r>
      <w:r w:rsidR="00220FE3" w:rsidRPr="00F91689">
        <w:t>ndix 1: Typical workflows for E&amp;L risk assessment and risk control</w:t>
      </w:r>
      <w:bookmarkEnd w:id="39"/>
      <w:bookmarkEnd w:id="40"/>
    </w:p>
    <w:p w14:paraId="0B266207" w14:textId="63A7DEB2" w:rsidR="00CE2913" w:rsidRPr="00F91689" w:rsidRDefault="00CE2913" w:rsidP="00CE2913">
      <w:pPr>
        <w:pStyle w:val="ICHTextOnly"/>
      </w:pPr>
      <w:r w:rsidRPr="695951DC">
        <w:rPr>
          <w:rStyle w:val="ui-provider"/>
        </w:rPr>
        <w:t xml:space="preserve">The following diagrams illustrate typical workflows for E&amp;L </w:t>
      </w:r>
      <w:r w:rsidR="005227A2">
        <w:rPr>
          <w:rStyle w:val="ui-provider"/>
        </w:rPr>
        <w:t xml:space="preserve">overall </w:t>
      </w:r>
      <w:r w:rsidRPr="695951DC">
        <w:rPr>
          <w:rStyle w:val="ui-provider"/>
        </w:rPr>
        <w:t xml:space="preserve">risk assessment and risk control, for component qualifications for </w:t>
      </w:r>
      <w:r w:rsidRPr="00275606">
        <w:rPr>
          <w:rStyle w:val="ui-provider"/>
        </w:rPr>
        <w:t xml:space="preserve">manufacturing components/systems </w:t>
      </w:r>
      <w:r w:rsidRPr="695951DC">
        <w:rPr>
          <w:rStyle w:val="ui-provider"/>
        </w:rPr>
        <w:t xml:space="preserve">packaging (Figure </w:t>
      </w:r>
      <w:r w:rsidR="00F1291B">
        <w:rPr>
          <w:rStyle w:val="ui-provider"/>
        </w:rPr>
        <w:t>4</w:t>
      </w:r>
      <w:r w:rsidRPr="695951DC">
        <w:rPr>
          <w:rStyle w:val="ui-provider"/>
        </w:rPr>
        <w:t>) and packaging and delivery device components</w:t>
      </w:r>
      <w:r>
        <w:rPr>
          <w:rStyle w:val="ui-provider"/>
        </w:rPr>
        <w:t>/systems</w:t>
      </w:r>
      <w:r w:rsidRPr="695951DC">
        <w:rPr>
          <w:rStyle w:val="ui-provider"/>
        </w:rPr>
        <w:t xml:space="preserve"> (Figure </w:t>
      </w:r>
      <w:r w:rsidR="00F1291B">
        <w:rPr>
          <w:rStyle w:val="ui-provider"/>
        </w:rPr>
        <w:t>5</w:t>
      </w:r>
      <w:r w:rsidRPr="695951DC">
        <w:rPr>
          <w:rStyle w:val="ui-provider"/>
        </w:rPr>
        <w:t xml:space="preserve">). Typically for manufacturing components/systems and under most circumstances for packing systems, a safety assessment of leachable studies considering worst case conditions </w:t>
      </w:r>
      <w:r w:rsidR="00C9229D">
        <w:rPr>
          <w:rStyle w:val="ui-provider"/>
        </w:rPr>
        <w:t>is</w:t>
      </w:r>
      <w:r w:rsidRPr="695951DC">
        <w:rPr>
          <w:rStyle w:val="ui-provider"/>
        </w:rPr>
        <w:t xml:space="preserve"> expected. </w:t>
      </w:r>
      <w:r w:rsidRPr="695951DC">
        <w:t>However, under certain low risk circumstances, alternative approaches can be proposed. In all instances, similar to the examples given in Table A.1.1 and Table A.1.2 and where other low-risk scenarios could occur, the approach taken should be justified</w:t>
      </w:r>
      <w:r w:rsidRPr="695951DC">
        <w:rPr>
          <w:rStyle w:val="ui-provider"/>
        </w:rPr>
        <w:t xml:space="preserve"> (see Table A.1.1 and Table A.1.2). Overall, it is expected that </w:t>
      </w:r>
      <w:r w:rsidRPr="695951DC">
        <w:t>the extent of data requirements and subsequent</w:t>
      </w:r>
      <w:r w:rsidR="008E7A63">
        <w:t xml:space="preserve"> </w:t>
      </w:r>
      <w:r w:rsidR="005227A2">
        <w:t xml:space="preserve">quality and safety </w:t>
      </w:r>
      <w:r w:rsidRPr="695951DC">
        <w:t>assessment is</w:t>
      </w:r>
      <w:r w:rsidR="00E16A40" w:rsidRPr="695951DC">
        <w:t xml:space="preserve"> </w:t>
      </w:r>
      <w:r w:rsidRPr="695951DC">
        <w:t>commensurate with the overall level of risk.</w:t>
      </w:r>
    </w:p>
    <w:p w14:paraId="694945AD" w14:textId="77777777" w:rsidR="00BD271C" w:rsidRDefault="00BD271C">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sz w:val="24"/>
          <w:szCs w:val="24"/>
        </w:rPr>
      </w:pPr>
      <w:r>
        <w:br w:type="page"/>
      </w:r>
    </w:p>
    <w:p w14:paraId="339FDC11" w14:textId="77777777" w:rsidR="00CE2913" w:rsidRPr="00F91689" w:rsidRDefault="00CE2913" w:rsidP="00CE2913">
      <w:pPr>
        <w:pStyle w:val="ICHTextOnly"/>
      </w:pPr>
    </w:p>
    <w:p w14:paraId="62756701" w14:textId="14332D58" w:rsidR="006B1D16" w:rsidRPr="006B1D16" w:rsidRDefault="006B1D16" w:rsidP="006B1D16">
      <w:pPr>
        <w:pStyle w:val="ICHTextOnly"/>
        <w:jc w:val="center"/>
        <w:rPr>
          <w:b/>
          <w:bCs/>
        </w:rPr>
      </w:pPr>
      <w:r w:rsidRPr="006B1D16">
        <w:rPr>
          <w:b/>
          <w:bCs/>
        </w:rPr>
        <w:t xml:space="preserve">Figure </w:t>
      </w:r>
      <w:r w:rsidR="00F1291B">
        <w:rPr>
          <w:b/>
          <w:bCs/>
        </w:rPr>
        <w:t>4</w:t>
      </w:r>
      <w:r w:rsidRPr="006B1D16">
        <w:rPr>
          <w:b/>
          <w:bCs/>
        </w:rPr>
        <w:t xml:space="preserve">: Typical workflow for E&amp;L assessment related risk identification and mitigation for </w:t>
      </w:r>
      <w:r w:rsidRPr="006B1D16">
        <w:rPr>
          <w:rStyle w:val="ui-provider"/>
          <w:b/>
          <w:bCs/>
        </w:rPr>
        <w:t>manufacturing components/systems</w:t>
      </w:r>
    </w:p>
    <w:p w14:paraId="40861B64" w14:textId="3D4E3581" w:rsidR="007C17EC" w:rsidRDefault="009328D9" w:rsidP="000D5452">
      <w:pPr>
        <w:pStyle w:val="ICHTextOnly"/>
        <w:jc w:val="center"/>
        <w:rPr>
          <w:rStyle w:val="Strong"/>
        </w:rPr>
      </w:pPr>
      <w:r w:rsidRPr="009328D9">
        <w:rPr>
          <w:noProof/>
          <w:bdr w:val="none" w:sz="0" w:space="0" w:color="auto"/>
          <w:lang w:eastAsia="en-US"/>
        </w:rPr>
        <w:t xml:space="preserve"> </w:t>
      </w:r>
      <w:r w:rsidR="00422417">
        <w:rPr>
          <w:b/>
          <w:bCs/>
          <w:noProof/>
        </w:rPr>
        <w:drawing>
          <wp:inline distT="0" distB="0" distL="0" distR="0" wp14:anchorId="7C675968" wp14:editId="4083E15B">
            <wp:extent cx="4067908" cy="4677276"/>
            <wp:effectExtent l="0" t="0" r="0" b="9525"/>
            <wp:docPr id="132588599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85998" name="Graphic 1325885998"/>
                    <pic:cNvPicPr/>
                  </pic:nvPicPr>
                  <pic:blipFill rotWithShape="1">
                    <a:blip r:embed="rId21">
                      <a:extLst>
                        <a:ext uri="{96DAC541-7B7A-43D3-8B79-37D633B846F1}">
                          <asvg:svgBlip xmlns:asvg="http://schemas.microsoft.com/office/drawing/2016/SVG/main" r:embed="rId22"/>
                        </a:ext>
                      </a:extLst>
                    </a:blip>
                    <a:srcRect r="36491"/>
                    <a:stretch/>
                  </pic:blipFill>
                  <pic:spPr bwMode="auto">
                    <a:xfrm>
                      <a:off x="0" y="0"/>
                      <a:ext cx="4076666" cy="4687346"/>
                    </a:xfrm>
                    <a:prstGeom prst="rect">
                      <a:avLst/>
                    </a:prstGeom>
                    <a:ln>
                      <a:noFill/>
                    </a:ln>
                    <a:extLst>
                      <a:ext uri="{53640926-AAD7-44D8-BBD7-CCE9431645EC}">
                        <a14:shadowObscured xmlns:a14="http://schemas.microsoft.com/office/drawing/2010/main"/>
                      </a:ext>
                    </a:extLst>
                  </pic:spPr>
                </pic:pic>
              </a:graphicData>
            </a:graphic>
          </wp:inline>
        </w:drawing>
      </w:r>
    </w:p>
    <w:p w14:paraId="05655C39" w14:textId="77777777" w:rsidR="009328D9" w:rsidRDefault="009328D9" w:rsidP="00D57614">
      <w:pPr>
        <w:pStyle w:val="ICHTextOnly"/>
        <w:rPr>
          <w:bdr w:val="none" w:sz="0" w:space="0" w:color="auto"/>
          <w:lang w:eastAsia="en-US"/>
        </w:rPr>
      </w:pPr>
    </w:p>
    <w:p w14:paraId="2B1AFFB3" w14:textId="4AFDBC35" w:rsidR="00D57614" w:rsidRPr="00D57614" w:rsidRDefault="00D57614" w:rsidP="00D57614">
      <w:pPr>
        <w:pStyle w:val="ICHTextOnly"/>
        <w:rPr>
          <w:bdr w:val="none" w:sz="0" w:space="0" w:color="auto"/>
          <w:lang w:eastAsia="en-US"/>
        </w:rPr>
      </w:pPr>
      <w:r w:rsidRPr="00D57614">
        <w:rPr>
          <w:bdr w:val="none" w:sz="0" w:space="0" w:color="auto"/>
          <w:lang w:eastAsia="en-US"/>
        </w:rPr>
        <w:t>Refer to Section 4.3 for method qualification and chemical identification expectations as well as scenarios where a leachable study is recommended.</w:t>
      </w:r>
    </w:p>
    <w:p w14:paraId="45D0521D" w14:textId="5E2B1D05" w:rsidR="00D57614" w:rsidRPr="00D57614" w:rsidRDefault="00D57614" w:rsidP="00D57614">
      <w:pPr>
        <w:pStyle w:val="ICHTextOnly"/>
        <w:rPr>
          <w:bdr w:val="none" w:sz="0" w:space="0" w:color="auto"/>
          <w:lang w:eastAsia="en-US"/>
        </w:rPr>
      </w:pPr>
      <w:r w:rsidRPr="00D57614">
        <w:rPr>
          <w:bdr w:val="none" w:sz="0" w:space="0" w:color="auto"/>
          <w:lang w:eastAsia="en-US"/>
        </w:rPr>
        <w:t xml:space="preserve"> * Amount of extractable(s) or leachable(s) </w:t>
      </w:r>
      <w:r w:rsidR="00A3641E">
        <w:rPr>
          <w:bdr w:val="none" w:sz="0" w:space="0" w:color="auto"/>
          <w:lang w:eastAsia="en-US"/>
        </w:rPr>
        <w:t xml:space="preserve">are </w:t>
      </w:r>
      <w:r w:rsidRPr="00D57614">
        <w:rPr>
          <w:bdr w:val="none" w:sz="0" w:space="0" w:color="auto"/>
          <w:lang w:eastAsia="en-US"/>
        </w:rPr>
        <w:t>below the applicable safety threshold for each compound.</w:t>
      </w:r>
    </w:p>
    <w:p w14:paraId="3569A0FC" w14:textId="68EF4F56" w:rsidR="00D57614" w:rsidRPr="00D57614" w:rsidRDefault="00D57614" w:rsidP="00D57614">
      <w:pPr>
        <w:pStyle w:val="ICHTextOnly"/>
        <w:rPr>
          <w:bdr w:val="none" w:sz="0" w:space="0" w:color="auto"/>
          <w:lang w:eastAsia="en-US"/>
        </w:rPr>
      </w:pPr>
      <w:r w:rsidRPr="00D57614">
        <w:rPr>
          <w:bdr w:val="none" w:sz="0" w:space="0" w:color="auto"/>
          <w:lang w:eastAsia="en-US"/>
        </w:rPr>
        <w:t>** For manufacturing process employing multiple components constructed with the same or similar material</w:t>
      </w:r>
      <w:r w:rsidR="0017244D">
        <w:rPr>
          <w:bdr w:val="none" w:sz="0" w:space="0" w:color="auto"/>
          <w:lang w:eastAsia="en-US"/>
        </w:rPr>
        <w:t>,</w:t>
      </w:r>
      <w:r w:rsidRPr="00D57614">
        <w:rPr>
          <w:bdr w:val="none" w:sz="0" w:space="0" w:color="auto"/>
          <w:lang w:eastAsia="en-US"/>
        </w:rPr>
        <w:t xml:space="preserve"> cumulative leachables risk should be assessed </w:t>
      </w:r>
      <w:r w:rsidRPr="00D57614">
        <w:rPr>
          <w:rFonts w:eastAsia="Arial"/>
          <w:bdr w:val="none" w:sz="0" w:space="0" w:color="auto"/>
          <w:lang w:eastAsia="en-US"/>
        </w:rPr>
        <w:t xml:space="preserve">for the final drug product </w:t>
      </w:r>
      <w:r w:rsidRPr="00D57614">
        <w:rPr>
          <w:bdr w:val="none" w:sz="0" w:space="0" w:color="auto"/>
          <w:lang w:eastAsia="en-US"/>
        </w:rPr>
        <w:t>(see Section 3.4.1).</w:t>
      </w:r>
    </w:p>
    <w:p w14:paraId="4115498F" w14:textId="77777777" w:rsidR="0056616F" w:rsidRDefault="0056616F" w:rsidP="00FA0686">
      <w:pPr>
        <w:pStyle w:val="ICHTextOnly"/>
        <w:jc w:val="center"/>
        <w:rPr>
          <w:b/>
          <w:bCs/>
        </w:rPr>
      </w:pPr>
    </w:p>
    <w:p w14:paraId="2F4E409B" w14:textId="77777777" w:rsidR="00BD271C" w:rsidRDefault="00BD271C">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b/>
          <w:bCs/>
          <w:sz w:val="24"/>
          <w:szCs w:val="24"/>
        </w:rPr>
      </w:pPr>
      <w:r>
        <w:rPr>
          <w:b/>
          <w:bCs/>
        </w:rPr>
        <w:br w:type="page"/>
      </w:r>
    </w:p>
    <w:p w14:paraId="490E9ED1" w14:textId="59EB349D" w:rsidR="00FA0686" w:rsidRPr="00FA0686" w:rsidRDefault="00FA0686" w:rsidP="00FA0686">
      <w:pPr>
        <w:pStyle w:val="ICHTextOnly"/>
        <w:jc w:val="center"/>
        <w:rPr>
          <w:b/>
          <w:bCs/>
        </w:rPr>
      </w:pPr>
      <w:r w:rsidRPr="00FA0686">
        <w:rPr>
          <w:b/>
          <w:bCs/>
        </w:rPr>
        <w:lastRenderedPageBreak/>
        <w:t xml:space="preserve">Figure </w:t>
      </w:r>
      <w:r w:rsidR="00DF728D">
        <w:rPr>
          <w:b/>
          <w:bCs/>
        </w:rPr>
        <w:t>5</w:t>
      </w:r>
      <w:r w:rsidRPr="00FA0686">
        <w:rPr>
          <w:b/>
          <w:bCs/>
        </w:rPr>
        <w:t>: Typical workflow for E&amp;L assessment related risk identification and mitigation for packaging and delivery device components</w:t>
      </w:r>
    </w:p>
    <w:p w14:paraId="04C11A38" w14:textId="574CF6CE" w:rsidR="000D5452" w:rsidRDefault="00011278" w:rsidP="000D5452">
      <w:pPr>
        <w:pStyle w:val="ICHTextOnly"/>
        <w:jc w:val="center"/>
        <w:rPr>
          <w:rStyle w:val="Strong"/>
        </w:rPr>
      </w:pPr>
      <w:r>
        <w:rPr>
          <w:b/>
          <w:bCs/>
          <w:noProof/>
        </w:rPr>
        <w:drawing>
          <wp:inline distT="0" distB="0" distL="0" distR="0" wp14:anchorId="3EA530E6" wp14:editId="2AC47535">
            <wp:extent cx="6148254" cy="3458308"/>
            <wp:effectExtent l="0" t="0" r="0" b="8890"/>
            <wp:docPr id="562037039"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37039" name="Graphic 562037039"/>
                    <pic:cNvPicPr/>
                  </pic:nvPicPr>
                  <pic:blipFill>
                    <a:blip r:embed="rId23">
                      <a:extLst>
                        <a:ext uri="{96DAC541-7B7A-43D3-8B79-37D633B846F1}">
                          <asvg:svgBlip xmlns:asvg="http://schemas.microsoft.com/office/drawing/2016/SVG/main" r:embed="rId24"/>
                        </a:ext>
                      </a:extLst>
                    </a:blip>
                    <a:stretch>
                      <a:fillRect/>
                    </a:stretch>
                  </pic:blipFill>
                  <pic:spPr>
                    <a:xfrm>
                      <a:off x="0" y="0"/>
                      <a:ext cx="6156325" cy="3462848"/>
                    </a:xfrm>
                    <a:prstGeom prst="rect">
                      <a:avLst/>
                    </a:prstGeom>
                  </pic:spPr>
                </pic:pic>
              </a:graphicData>
            </a:graphic>
          </wp:inline>
        </w:drawing>
      </w:r>
    </w:p>
    <w:p w14:paraId="1145A475" w14:textId="77777777" w:rsidR="0056616F" w:rsidRDefault="0056616F" w:rsidP="007E017C">
      <w:pPr>
        <w:pStyle w:val="ICHTextOnly"/>
        <w:jc w:val="center"/>
        <w:rPr>
          <w:b/>
          <w:bCs/>
        </w:rPr>
      </w:pPr>
    </w:p>
    <w:p w14:paraId="160F2A70" w14:textId="680E8D0A" w:rsidR="007E017C" w:rsidRPr="007E017C" w:rsidRDefault="007E017C" w:rsidP="007E017C">
      <w:pPr>
        <w:pStyle w:val="ICHTextOnly"/>
        <w:jc w:val="center"/>
        <w:rPr>
          <w:b/>
          <w:bCs/>
        </w:rPr>
      </w:pPr>
      <w:r w:rsidRPr="007E017C">
        <w:rPr>
          <w:b/>
          <w:bCs/>
        </w:rPr>
        <w:t>Table A.1.1: Manufacturing Equipment Components/Systems Scenarios</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203"/>
      </w:tblGrid>
      <w:tr w:rsidR="00FD6057" w:rsidRPr="00F91689" w14:paraId="4DF290F6" w14:textId="77777777" w:rsidTr="00383F97">
        <w:trPr>
          <w:trHeight w:val="376"/>
        </w:trPr>
        <w:tc>
          <w:tcPr>
            <w:tcW w:w="5395" w:type="dxa"/>
            <w:tcBorders>
              <w:top w:val="single" w:sz="4" w:space="0" w:color="auto"/>
              <w:left w:val="single" w:sz="4" w:space="0" w:color="auto"/>
              <w:bottom w:val="single" w:sz="4" w:space="0" w:color="auto"/>
              <w:right w:val="single" w:sz="4" w:space="0" w:color="auto"/>
            </w:tcBorders>
            <w:shd w:val="clear" w:color="auto" w:fill="auto"/>
          </w:tcPr>
          <w:p w14:paraId="402FE447" w14:textId="77777777" w:rsidR="00FD6057" w:rsidRPr="00FD6057" w:rsidRDefault="00FD6057" w:rsidP="00383F97">
            <w:pPr>
              <w:pStyle w:val="Default"/>
              <w:jc w:val="center"/>
              <w:rPr>
                <w:rFonts w:ascii="Times New Roman" w:hAnsi="Times New Roman" w:cs="Times New Roman"/>
                <w:b/>
                <w:bCs/>
                <w:color w:val="auto"/>
              </w:rPr>
            </w:pPr>
            <w:r w:rsidRPr="00FD6057">
              <w:rPr>
                <w:rFonts w:ascii="Times New Roman" w:hAnsi="Times New Roman" w:cs="Times New Roman"/>
                <w:b/>
                <w:bCs/>
                <w:color w:val="auto"/>
              </w:rPr>
              <w:t>Risk Scenario</w:t>
            </w:r>
          </w:p>
        </w:tc>
        <w:tc>
          <w:tcPr>
            <w:tcW w:w="4203" w:type="dxa"/>
            <w:tcBorders>
              <w:top w:val="single" w:sz="4" w:space="0" w:color="auto"/>
              <w:left w:val="single" w:sz="4" w:space="0" w:color="auto"/>
              <w:bottom w:val="single" w:sz="4" w:space="0" w:color="auto"/>
              <w:right w:val="single" w:sz="4" w:space="0" w:color="auto"/>
            </w:tcBorders>
            <w:shd w:val="clear" w:color="auto" w:fill="auto"/>
          </w:tcPr>
          <w:p w14:paraId="08555D8D" w14:textId="77777777" w:rsidR="00FD6057" w:rsidRPr="00FD6057" w:rsidRDefault="00FD6057" w:rsidP="00383F97">
            <w:pPr>
              <w:pStyle w:val="Default"/>
              <w:jc w:val="center"/>
              <w:rPr>
                <w:rFonts w:ascii="Times New Roman" w:hAnsi="Times New Roman" w:cs="Times New Roman"/>
                <w:b/>
                <w:bCs/>
                <w:color w:val="auto"/>
              </w:rPr>
            </w:pPr>
            <w:r w:rsidRPr="00FD6057">
              <w:rPr>
                <w:rFonts w:ascii="Times New Roman" w:hAnsi="Times New Roman" w:cs="Times New Roman"/>
                <w:b/>
                <w:bCs/>
                <w:color w:val="auto"/>
              </w:rPr>
              <w:t>Potential Outcome</w:t>
            </w:r>
          </w:p>
        </w:tc>
      </w:tr>
      <w:tr w:rsidR="00FD6057" w:rsidRPr="00F91689" w14:paraId="2FCF6384" w14:textId="77777777" w:rsidTr="00383F97">
        <w:trPr>
          <w:trHeight w:val="376"/>
        </w:trPr>
        <w:tc>
          <w:tcPr>
            <w:tcW w:w="5395" w:type="dxa"/>
            <w:tcBorders>
              <w:top w:val="single" w:sz="4" w:space="0" w:color="auto"/>
            </w:tcBorders>
            <w:shd w:val="clear" w:color="auto" w:fill="auto"/>
            <w:vAlign w:val="center"/>
          </w:tcPr>
          <w:p w14:paraId="6DB003AF" w14:textId="77777777" w:rsidR="00FD6057" w:rsidRPr="00FD6057" w:rsidRDefault="00FD6057" w:rsidP="00383F97">
            <w:pPr>
              <w:pStyle w:val="Default"/>
              <w:rPr>
                <w:rFonts w:ascii="Times New Roman" w:hAnsi="Times New Roman" w:cs="Times New Roman"/>
                <w:b/>
                <w:bCs/>
                <w:color w:val="auto"/>
              </w:rPr>
            </w:pPr>
            <w:r w:rsidRPr="00FD6057">
              <w:rPr>
                <w:rFonts w:ascii="Times New Roman" w:hAnsi="Times New Roman" w:cs="Times New Roman"/>
                <w:b/>
                <w:bCs/>
                <w:color w:val="auto"/>
              </w:rPr>
              <w:t>Scenario 1:</w:t>
            </w:r>
          </w:p>
          <w:p w14:paraId="148A3402" w14:textId="77777777" w:rsidR="00FD6057" w:rsidRPr="00FD6057" w:rsidRDefault="00FD6057" w:rsidP="00383F97">
            <w:pPr>
              <w:pStyle w:val="Default"/>
              <w:rPr>
                <w:rFonts w:ascii="Times New Roman" w:eastAsia="Calibri" w:hAnsi="Times New Roman" w:cs="Times New Roman"/>
                <w:color w:val="auto"/>
              </w:rPr>
            </w:pPr>
            <w:r w:rsidRPr="00FD6057">
              <w:rPr>
                <w:rFonts w:ascii="Times New Roman" w:hAnsi="Times New Roman" w:cs="Times New Roman"/>
                <w:color w:val="auto"/>
              </w:rPr>
              <w:t>Solid oral drug product manufactured using equip</w:t>
            </w:r>
            <w:r w:rsidRPr="00FD6057">
              <w:rPr>
                <w:rFonts w:ascii="Times New Roman" w:eastAsia="Calibri" w:hAnsi="Times New Roman" w:cs="Times New Roman"/>
                <w:color w:val="auto"/>
              </w:rPr>
              <w:t>ment</w:t>
            </w:r>
            <w:r w:rsidRPr="00FD6057">
              <w:rPr>
                <w:rFonts w:ascii="Times New Roman" w:eastAsia="Calibri" w:hAnsi="Times New Roman" w:cs="Times New Roman"/>
                <w:b/>
                <w:color w:val="auto"/>
              </w:rPr>
              <w:t xml:space="preserve"> </w:t>
            </w:r>
            <w:r w:rsidRPr="00FD6057">
              <w:rPr>
                <w:rFonts w:ascii="Times New Roman" w:eastAsia="Calibri" w:hAnsi="Times New Roman" w:cs="Times New Roman"/>
                <w:color w:val="auto"/>
              </w:rPr>
              <w:t>components compliant with relevant regional food and/or pharmaceutical grade requirements (See Section 3.2).</w:t>
            </w:r>
          </w:p>
          <w:p w14:paraId="14F9E5B4" w14:textId="77777777" w:rsidR="00FD6057" w:rsidRPr="00FD6057" w:rsidRDefault="00FD6057" w:rsidP="00383F97">
            <w:pPr>
              <w:pStyle w:val="Default"/>
              <w:rPr>
                <w:rFonts w:ascii="Times New Roman" w:hAnsi="Times New Roman" w:cs="Times New Roman"/>
                <w:b/>
                <w:bCs/>
                <w:color w:val="auto"/>
              </w:rPr>
            </w:pPr>
          </w:p>
        </w:tc>
        <w:tc>
          <w:tcPr>
            <w:tcW w:w="4203" w:type="dxa"/>
            <w:tcBorders>
              <w:top w:val="single" w:sz="4" w:space="0" w:color="auto"/>
            </w:tcBorders>
            <w:shd w:val="clear" w:color="auto" w:fill="auto"/>
            <w:vAlign w:val="center"/>
          </w:tcPr>
          <w:p w14:paraId="51EDEDFA" w14:textId="77777777" w:rsidR="00FD6057" w:rsidRPr="00FD6057" w:rsidRDefault="00FD6057" w:rsidP="00383F97">
            <w:pPr>
              <w:pStyle w:val="Default"/>
              <w:rPr>
                <w:rFonts w:ascii="Times New Roman" w:hAnsi="Times New Roman" w:cs="Times New Roman"/>
                <w:color w:val="auto"/>
              </w:rPr>
            </w:pPr>
            <w:r w:rsidRPr="00FD6057">
              <w:rPr>
                <w:rFonts w:ascii="Times New Roman" w:eastAsia="Calibri" w:hAnsi="Times New Roman" w:cs="Times New Roman"/>
                <w:color w:val="auto"/>
              </w:rPr>
              <w:t>Components considered qualified without additional extractables or leachables testing.</w:t>
            </w:r>
            <w:r w:rsidRPr="00FD6057">
              <w:rPr>
                <w:rFonts w:ascii="Times New Roman" w:hAnsi="Times New Roman" w:cs="Times New Roman"/>
                <w:color w:val="auto"/>
              </w:rPr>
              <w:t xml:space="preserve"> </w:t>
            </w:r>
          </w:p>
        </w:tc>
      </w:tr>
      <w:tr w:rsidR="00FD6057" w:rsidRPr="00F91689" w14:paraId="439FA346" w14:textId="77777777" w:rsidTr="00383F97">
        <w:trPr>
          <w:trHeight w:val="376"/>
        </w:trPr>
        <w:tc>
          <w:tcPr>
            <w:tcW w:w="5395" w:type="dxa"/>
            <w:shd w:val="clear" w:color="auto" w:fill="auto"/>
            <w:vAlign w:val="center"/>
          </w:tcPr>
          <w:p w14:paraId="422994AC" w14:textId="77777777" w:rsidR="00FD6057" w:rsidRPr="00FD6057" w:rsidRDefault="00FD6057" w:rsidP="00383F97">
            <w:pPr>
              <w:pStyle w:val="Default"/>
              <w:rPr>
                <w:rFonts w:ascii="Times New Roman" w:hAnsi="Times New Roman" w:cs="Times New Roman"/>
                <w:b/>
                <w:color w:val="auto"/>
              </w:rPr>
            </w:pPr>
            <w:r w:rsidRPr="00FD6057">
              <w:rPr>
                <w:rFonts w:ascii="Times New Roman" w:eastAsia="Calibri" w:hAnsi="Times New Roman" w:cs="Times New Roman"/>
                <w:b/>
                <w:bCs/>
                <w:color w:val="auto"/>
              </w:rPr>
              <w:t xml:space="preserve">Scenario 2: </w:t>
            </w:r>
            <w:r w:rsidRPr="00FD6057">
              <w:rPr>
                <w:rFonts w:ascii="Times New Roman" w:hAnsi="Times New Roman" w:cs="Times New Roman"/>
                <w:color w:val="auto"/>
              </w:rPr>
              <w:br/>
            </w:r>
            <w:r w:rsidRPr="00FD6057">
              <w:rPr>
                <w:rFonts w:ascii="Times New Roman" w:eastAsia="Calibri" w:hAnsi="Times New Roman" w:cs="Times New Roman"/>
                <w:color w:val="auto"/>
              </w:rPr>
              <w:t>Liquid</w:t>
            </w:r>
            <w:r w:rsidRPr="00FD6057">
              <w:rPr>
                <w:rFonts w:ascii="Times New Roman" w:hAnsi="Times New Roman" w:cs="Times New Roman"/>
                <w:color w:val="auto"/>
              </w:rPr>
              <w:t xml:space="preserve"> oral drug product using polymeric manufact</w:t>
            </w:r>
            <w:r w:rsidRPr="00FD6057">
              <w:rPr>
                <w:rFonts w:ascii="Times New Roman" w:eastAsia="Calibri" w:hAnsi="Times New Roman" w:cs="Times New Roman"/>
                <w:color w:val="auto"/>
              </w:rPr>
              <w:t>uring equipment/systems compliant with relevant regional food-contact safety regulations, use of these materials is consistent with the relevant regulations, and the leaching propensity of the drug product is not greater than identified in the relevant regulation (See Section 3.2).</w:t>
            </w:r>
          </w:p>
        </w:tc>
        <w:tc>
          <w:tcPr>
            <w:tcW w:w="4203" w:type="dxa"/>
            <w:vMerge w:val="restart"/>
            <w:shd w:val="clear" w:color="auto" w:fill="auto"/>
            <w:vAlign w:val="center"/>
          </w:tcPr>
          <w:p w14:paraId="50395C88" w14:textId="77777777" w:rsidR="00FD6057" w:rsidRPr="00FD6057" w:rsidRDefault="00FD6057" w:rsidP="00383F97">
            <w:pPr>
              <w:pStyle w:val="Default"/>
              <w:rPr>
                <w:rFonts w:ascii="Times New Roman" w:hAnsi="Times New Roman" w:cs="Times New Roman"/>
                <w:color w:val="auto"/>
              </w:rPr>
            </w:pPr>
            <w:r w:rsidRPr="00FD6057">
              <w:rPr>
                <w:rFonts w:ascii="Times New Roman" w:eastAsia="Calibri" w:hAnsi="Times New Roman" w:cs="Times New Roman"/>
                <w:color w:val="auto"/>
              </w:rPr>
              <w:t>Components may be considered qualified without additional extractables or leachables testing</w:t>
            </w:r>
          </w:p>
        </w:tc>
      </w:tr>
      <w:tr w:rsidR="00FD6057" w:rsidRPr="00F91689" w14:paraId="01151D17" w14:textId="77777777" w:rsidTr="00383F97">
        <w:trPr>
          <w:trHeight w:val="362"/>
        </w:trPr>
        <w:tc>
          <w:tcPr>
            <w:tcW w:w="5395" w:type="dxa"/>
            <w:shd w:val="clear" w:color="auto" w:fill="auto"/>
            <w:vAlign w:val="center"/>
          </w:tcPr>
          <w:p w14:paraId="5E479469" w14:textId="77777777" w:rsidR="00FD6057" w:rsidRPr="00FD6057" w:rsidRDefault="00FD6057" w:rsidP="00383F97">
            <w:pPr>
              <w:pStyle w:val="Default"/>
              <w:rPr>
                <w:rFonts w:ascii="Times New Roman" w:hAnsi="Times New Roman" w:cs="Times New Roman"/>
                <w:b/>
                <w:color w:val="auto"/>
              </w:rPr>
            </w:pPr>
            <w:r w:rsidRPr="00FD6057">
              <w:rPr>
                <w:rFonts w:ascii="Times New Roman" w:eastAsia="Calibri" w:hAnsi="Times New Roman" w:cs="Times New Roman"/>
                <w:b/>
                <w:bCs/>
                <w:color w:val="auto"/>
              </w:rPr>
              <w:t>Scenario 3:</w:t>
            </w:r>
            <w:r w:rsidRPr="00FD6057">
              <w:rPr>
                <w:rFonts w:ascii="Times New Roman" w:hAnsi="Times New Roman" w:cs="Times New Roman"/>
                <w:color w:val="auto"/>
              </w:rPr>
              <w:br/>
            </w:r>
            <w:r w:rsidRPr="00FD6057">
              <w:rPr>
                <w:rFonts w:ascii="Times New Roman" w:eastAsia="Calibri" w:hAnsi="Times New Roman" w:cs="Times New Roman"/>
                <w:color w:val="auto"/>
              </w:rPr>
              <w:t>No</w:t>
            </w:r>
            <w:r w:rsidRPr="00FD6057">
              <w:rPr>
                <w:rFonts w:ascii="Times New Roman" w:hAnsi="Times New Roman" w:cs="Times New Roman"/>
                <w:color w:val="auto"/>
              </w:rPr>
              <w:t xml:space="preserve"> manufacturing components/systems extractables above the applicable </w:t>
            </w:r>
            <w:r w:rsidRPr="00FD6057">
              <w:rPr>
                <w:rFonts w:ascii="Times New Roman" w:eastAsia="Calibri" w:hAnsi="Times New Roman" w:cs="Times New Roman"/>
                <w:color w:val="auto"/>
              </w:rPr>
              <w:t>AET in a semi-quantitative extractable study (See Section 4.3.1)</w:t>
            </w:r>
            <w:r w:rsidRPr="00FD6057">
              <w:rPr>
                <w:rFonts w:ascii="Times New Roman" w:hAnsi="Times New Roman" w:cs="Times New Roman"/>
                <w:color w:val="auto"/>
              </w:rPr>
              <w:t>.</w:t>
            </w:r>
          </w:p>
        </w:tc>
        <w:tc>
          <w:tcPr>
            <w:tcW w:w="4203" w:type="dxa"/>
            <w:vMerge/>
            <w:vAlign w:val="center"/>
          </w:tcPr>
          <w:p w14:paraId="7B157421" w14:textId="77777777" w:rsidR="00FD6057" w:rsidRPr="00FD6057" w:rsidRDefault="00FD6057" w:rsidP="00383F97">
            <w:pPr>
              <w:pStyle w:val="Default"/>
              <w:rPr>
                <w:rFonts w:ascii="Times New Roman" w:hAnsi="Times New Roman" w:cs="Times New Roman"/>
                <w:color w:val="auto"/>
              </w:rPr>
            </w:pPr>
          </w:p>
        </w:tc>
      </w:tr>
      <w:tr w:rsidR="00FD6057" w:rsidRPr="00F91689" w14:paraId="09033A9C" w14:textId="77777777" w:rsidTr="00383F97">
        <w:trPr>
          <w:trHeight w:val="1380"/>
        </w:trPr>
        <w:tc>
          <w:tcPr>
            <w:tcW w:w="5395" w:type="dxa"/>
            <w:shd w:val="clear" w:color="auto" w:fill="auto"/>
            <w:vAlign w:val="center"/>
          </w:tcPr>
          <w:p w14:paraId="22099BA7" w14:textId="77777777" w:rsidR="00FD6057" w:rsidRPr="00FD6057" w:rsidRDefault="00FD6057" w:rsidP="00383F97">
            <w:pPr>
              <w:pStyle w:val="Default"/>
              <w:rPr>
                <w:rFonts w:ascii="Times New Roman" w:hAnsi="Times New Roman" w:cs="Times New Roman"/>
                <w:b/>
                <w:bCs/>
                <w:color w:val="auto"/>
              </w:rPr>
            </w:pPr>
            <w:r w:rsidRPr="00FD6057">
              <w:rPr>
                <w:rFonts w:ascii="Times New Roman" w:eastAsia="Calibri" w:hAnsi="Times New Roman" w:cs="Times New Roman"/>
                <w:b/>
                <w:bCs/>
                <w:color w:val="auto"/>
              </w:rPr>
              <w:lastRenderedPageBreak/>
              <w:t>Scenario 4:</w:t>
            </w:r>
            <w:r w:rsidRPr="00FD6057">
              <w:rPr>
                <w:rFonts w:ascii="Times New Roman" w:hAnsi="Times New Roman" w:cs="Times New Roman"/>
              </w:rPr>
              <w:br/>
            </w:r>
            <w:r w:rsidRPr="00FD6057">
              <w:rPr>
                <w:rFonts w:ascii="Times New Roman" w:eastAsia="Calibri" w:hAnsi="Times New Roman" w:cs="Times New Roman"/>
                <w:color w:val="auto"/>
              </w:rPr>
              <w:t xml:space="preserve">All </w:t>
            </w:r>
            <w:r w:rsidRPr="00FD6057">
              <w:rPr>
                <w:rFonts w:ascii="Times New Roman" w:hAnsi="Times New Roman" w:cs="Times New Roman"/>
                <w:color w:val="auto"/>
              </w:rPr>
              <w:t>manufacturing equipment</w:t>
            </w:r>
            <w:r w:rsidRPr="00FD6057">
              <w:rPr>
                <w:rFonts w:ascii="Times New Roman" w:eastAsia="Calibri" w:hAnsi="Times New Roman" w:cs="Times New Roman"/>
                <w:color w:val="auto"/>
              </w:rPr>
              <w:t xml:space="preserve"> extractables </w:t>
            </w:r>
            <w:r w:rsidRPr="00FD6057">
              <w:rPr>
                <w:rFonts w:ascii="Times New Roman" w:eastAsia="Arial" w:hAnsi="Times New Roman" w:cs="Times New Roman"/>
              </w:rPr>
              <w:t>detected, identified, and quantified in the quantitative extractable study</w:t>
            </w:r>
            <w:r w:rsidRPr="00FD6057">
              <w:rPr>
                <w:rFonts w:ascii="Times New Roman" w:eastAsia="Calibri" w:hAnsi="Times New Roman" w:cs="Times New Roman"/>
                <w:color w:val="auto"/>
              </w:rPr>
              <w:t xml:space="preserve"> </w:t>
            </w:r>
            <w:r w:rsidRPr="00FD6057">
              <w:rPr>
                <w:rFonts w:ascii="Times New Roman" w:hAnsi="Times New Roman" w:cs="Times New Roman"/>
                <w:color w:val="auto"/>
              </w:rPr>
              <w:t>above the</w:t>
            </w:r>
            <w:r w:rsidRPr="00FD6057">
              <w:rPr>
                <w:rFonts w:ascii="Times New Roman" w:eastAsia="Calibri" w:hAnsi="Times New Roman" w:cs="Times New Roman"/>
                <w:color w:val="auto"/>
              </w:rPr>
              <w:t xml:space="preserve"> applicable AET are below their applicable safety threshold (</w:t>
            </w:r>
            <w:r w:rsidRPr="00FD6057">
              <w:rPr>
                <w:rFonts w:ascii="Times New Roman" w:hAnsi="Times New Roman" w:cs="Times New Roman"/>
                <w:color w:val="auto"/>
              </w:rPr>
              <w:t>TTC/QT or compound-specific AI/P</w:t>
            </w:r>
            <w:r w:rsidRPr="00FD6057">
              <w:rPr>
                <w:rFonts w:ascii="Times New Roman" w:eastAsia="Calibri" w:hAnsi="Times New Roman" w:cs="Times New Roman"/>
                <w:color w:val="auto"/>
              </w:rPr>
              <w:t>DE) (See Section 4.3.2)</w:t>
            </w:r>
            <w:r w:rsidRPr="00FD6057">
              <w:rPr>
                <w:rFonts w:ascii="Times New Roman" w:hAnsi="Times New Roman" w:cs="Times New Roman"/>
                <w:color w:val="auto"/>
              </w:rPr>
              <w:t>.</w:t>
            </w:r>
          </w:p>
        </w:tc>
        <w:tc>
          <w:tcPr>
            <w:tcW w:w="4203" w:type="dxa"/>
            <w:shd w:val="clear" w:color="auto" w:fill="auto"/>
            <w:vAlign w:val="center"/>
          </w:tcPr>
          <w:p w14:paraId="65A51428" w14:textId="77777777" w:rsidR="00FD6057" w:rsidRPr="00FD6057" w:rsidRDefault="00FD6057" w:rsidP="00383F97">
            <w:pPr>
              <w:pStyle w:val="Default"/>
              <w:rPr>
                <w:rFonts w:ascii="Times New Roman" w:eastAsia="Calibri" w:hAnsi="Times New Roman" w:cs="Times New Roman"/>
                <w:color w:val="auto"/>
              </w:rPr>
            </w:pPr>
            <w:r w:rsidRPr="00FD6057">
              <w:rPr>
                <w:rFonts w:ascii="Times New Roman" w:eastAsia="Calibri" w:hAnsi="Times New Roman" w:cs="Times New Roman"/>
                <w:color w:val="auto"/>
              </w:rPr>
              <w:t xml:space="preserve">Components may be considered qualified without additional extractables or leachables testing. </w:t>
            </w:r>
          </w:p>
        </w:tc>
      </w:tr>
    </w:tbl>
    <w:p w14:paraId="5BEC1609" w14:textId="77777777" w:rsidR="00FD6057" w:rsidRDefault="00FD6057" w:rsidP="00FD6057">
      <w:pPr>
        <w:pStyle w:val="Default"/>
        <w:rPr>
          <w:rFonts w:ascii="Arial" w:hAnsi="Arial" w:cs="Arial"/>
          <w:color w:val="auto"/>
          <w:sz w:val="22"/>
          <w:szCs w:val="22"/>
        </w:rPr>
      </w:pPr>
    </w:p>
    <w:p w14:paraId="3BF91FD8" w14:textId="40FA92D0" w:rsidR="004B51EA" w:rsidRPr="004B51EA" w:rsidRDefault="004B51EA" w:rsidP="004B51EA">
      <w:pPr>
        <w:pStyle w:val="ICHTextOnly"/>
        <w:jc w:val="center"/>
        <w:rPr>
          <w:b/>
          <w:bCs/>
          <w:bdr w:val="none" w:sz="0" w:space="0" w:color="auto"/>
          <w:lang w:val="en-US"/>
        </w:rPr>
      </w:pPr>
    </w:p>
    <w:p w14:paraId="5F47808D" w14:textId="37719CA8" w:rsidR="004B51EA" w:rsidRDefault="004B51EA" w:rsidP="004B51EA">
      <w:pPr>
        <w:pStyle w:val="ICHTextOnly"/>
        <w:rPr>
          <w:bdr w:val="none" w:sz="0" w:space="0" w:color="auto"/>
          <w:lang w:val="en-US"/>
        </w:rPr>
      </w:pPr>
      <w:r w:rsidRPr="004B51EA">
        <w:rPr>
          <w:bdr w:val="none" w:sz="0" w:space="0" w:color="auto"/>
          <w:lang w:val="en-US"/>
        </w:rPr>
        <w:t xml:space="preserve">In general, comprehensive extractable and leachable data should be provided for all </w:t>
      </w:r>
      <w:r w:rsidR="00947C2D" w:rsidRPr="27094DB6">
        <w:rPr>
          <w:lang w:val="en-US"/>
        </w:rPr>
        <w:t xml:space="preserve">primary </w:t>
      </w:r>
      <w:r w:rsidRPr="004B51EA">
        <w:rPr>
          <w:bdr w:val="none" w:sz="0" w:space="0" w:color="auto"/>
          <w:lang w:val="en-US"/>
        </w:rPr>
        <w:t>packaging components/systems</w:t>
      </w:r>
      <w:r w:rsidR="0105E6AC" w:rsidRPr="004B51EA">
        <w:rPr>
          <w:bdr w:val="none" w:sz="0" w:space="0" w:color="auto"/>
          <w:lang w:val="en-US"/>
        </w:rPr>
        <w:t xml:space="preserve"> and delivery device components</w:t>
      </w:r>
      <w:r w:rsidRPr="004B51EA">
        <w:rPr>
          <w:bdr w:val="none" w:sz="0" w:space="0" w:color="auto"/>
          <w:lang w:val="en-US"/>
        </w:rPr>
        <w:t>. However, for overall low-risk scenarios (see Figure 2</w:t>
      </w:r>
      <w:r w:rsidR="00BC2968">
        <w:rPr>
          <w:bdr w:val="none" w:sz="0" w:space="0" w:color="auto"/>
          <w:lang w:val="en-US"/>
        </w:rPr>
        <w:t>, Section 3.2</w:t>
      </w:r>
      <w:r w:rsidRPr="004B51EA">
        <w:rPr>
          <w:bdr w:val="none" w:sz="0" w:space="0" w:color="auto"/>
          <w:lang w:val="en-US"/>
        </w:rPr>
        <w:t>) an abbreviated data package that includes a quantitative extractables study may be adequate with justification. See Section 3.4 for situations where a leachable study should be conducted to address the specific concerns and demonstrate acceptability of the components.</w:t>
      </w:r>
    </w:p>
    <w:p w14:paraId="2D489129" w14:textId="77777777" w:rsidR="00BD271C" w:rsidRDefault="00BD271C" w:rsidP="004B51EA">
      <w:pPr>
        <w:pStyle w:val="ICHTextOnly"/>
        <w:rPr>
          <w:bdr w:val="none" w:sz="0" w:space="0" w:color="auto"/>
          <w:lang w:val="en-US"/>
        </w:rPr>
      </w:pPr>
    </w:p>
    <w:p w14:paraId="0793020F" w14:textId="40D8C456" w:rsidR="00F70BEA" w:rsidRDefault="00F70BEA" w:rsidP="00F70BEA">
      <w:pPr>
        <w:pStyle w:val="ICHTextOnly"/>
        <w:jc w:val="center"/>
        <w:rPr>
          <w:bdr w:val="none" w:sz="0" w:space="0" w:color="auto"/>
          <w:lang w:val="en-US"/>
        </w:rPr>
      </w:pPr>
      <w:r w:rsidRPr="0984C980">
        <w:rPr>
          <w:b/>
          <w:lang w:val="en-US"/>
        </w:rPr>
        <w:t xml:space="preserve">Table A.1.2: Examples For Abbreviated Data Package for Packaging </w:t>
      </w:r>
      <w:r w:rsidR="7F7FAB3B" w:rsidRPr="0984C980">
        <w:rPr>
          <w:b/>
          <w:bCs/>
          <w:lang w:val="en-US"/>
        </w:rPr>
        <w:t xml:space="preserve">and </w:t>
      </w:r>
      <w:r w:rsidR="00C3715B">
        <w:rPr>
          <w:b/>
          <w:bCs/>
          <w:lang w:val="en-US"/>
        </w:rPr>
        <w:t>D</w:t>
      </w:r>
      <w:r w:rsidR="7F7FAB3B" w:rsidRPr="0984C980">
        <w:rPr>
          <w:b/>
          <w:bCs/>
          <w:lang w:val="en-US"/>
        </w:rPr>
        <w:t xml:space="preserve">elivery </w:t>
      </w:r>
      <w:r w:rsidR="00C3715B">
        <w:rPr>
          <w:b/>
          <w:bCs/>
          <w:lang w:val="en-US"/>
        </w:rPr>
        <w:t>D</w:t>
      </w:r>
      <w:r w:rsidR="7F7FAB3B" w:rsidRPr="0984C980">
        <w:rPr>
          <w:b/>
          <w:bCs/>
          <w:lang w:val="en-US"/>
        </w:rPr>
        <w:t xml:space="preserve">evice </w:t>
      </w:r>
      <w:r w:rsidR="00C3715B">
        <w:rPr>
          <w:b/>
          <w:bCs/>
          <w:lang w:val="en-US"/>
        </w:rPr>
        <w:t>C</w:t>
      </w:r>
      <w:r w:rsidR="00441C5A">
        <w:rPr>
          <w:b/>
          <w:bCs/>
          <w:lang w:val="en-US"/>
        </w:rPr>
        <w:t>o</w:t>
      </w:r>
      <w:r w:rsidR="7F7FAB3B" w:rsidRPr="0984C980">
        <w:rPr>
          <w:b/>
          <w:bCs/>
          <w:lang w:val="en-US"/>
        </w:rPr>
        <w:t>mponents</w:t>
      </w:r>
      <w:r w:rsidR="4989E106" w:rsidRPr="0984C980">
        <w:rPr>
          <w:b/>
          <w:bCs/>
          <w:lang w:val="en-US"/>
        </w:rPr>
        <w:t xml:space="preserve"> </w:t>
      </w:r>
    </w:p>
    <w:tbl>
      <w:tblPr>
        <w:tblStyle w:val="TableGrid"/>
        <w:tblW w:w="0" w:type="auto"/>
        <w:tblLook w:val="04A0" w:firstRow="1" w:lastRow="0" w:firstColumn="1" w:lastColumn="0" w:noHBand="0" w:noVBand="1"/>
      </w:tblPr>
      <w:tblGrid>
        <w:gridCol w:w="4526"/>
        <w:gridCol w:w="4490"/>
      </w:tblGrid>
      <w:tr w:rsidR="009140E2" w:rsidRPr="009140E2" w14:paraId="287264C5" w14:textId="77777777" w:rsidTr="00383F97">
        <w:trPr>
          <w:trHeight w:val="300"/>
        </w:trPr>
        <w:tc>
          <w:tcPr>
            <w:tcW w:w="4675" w:type="dxa"/>
          </w:tcPr>
          <w:p w14:paraId="601D877E" w14:textId="77777777" w:rsidR="009140E2" w:rsidRPr="009140E2" w:rsidRDefault="009140E2" w:rsidP="009140E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Times New Roman" w:eastAsia="MS Mincho" w:hAnsi="Times New Roman" w:cs="Times New Roman"/>
                <w:b/>
                <w:bCs/>
                <w:color w:val="auto"/>
                <w:kern w:val="0"/>
                <w:sz w:val="24"/>
                <w:szCs w:val="24"/>
                <w:bdr w:val="none" w:sz="0" w:space="0" w:color="auto"/>
                <w:lang w:val="en-US" w:eastAsia="en-US"/>
              </w:rPr>
            </w:pPr>
            <w:r w:rsidRPr="009140E2">
              <w:rPr>
                <w:rFonts w:ascii="Times New Roman" w:eastAsia="MS Mincho" w:hAnsi="Times New Roman" w:cs="Times New Roman"/>
                <w:b/>
                <w:bCs/>
                <w:color w:val="auto"/>
                <w:kern w:val="0"/>
                <w:sz w:val="24"/>
                <w:szCs w:val="24"/>
                <w:bdr w:val="none" w:sz="0" w:space="0" w:color="auto"/>
                <w:lang w:val="en-US" w:eastAsia="en-US"/>
              </w:rPr>
              <w:t>Examples*</w:t>
            </w:r>
          </w:p>
        </w:tc>
        <w:tc>
          <w:tcPr>
            <w:tcW w:w="4675" w:type="dxa"/>
            <w:vAlign w:val="center"/>
          </w:tcPr>
          <w:p w14:paraId="67E3C7BC" w14:textId="77777777" w:rsidR="009140E2" w:rsidRPr="009140E2" w:rsidRDefault="009140E2" w:rsidP="009140E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Times New Roman" w:eastAsia="MS Mincho" w:hAnsi="Times New Roman" w:cs="Times New Roman"/>
                <w:b/>
                <w:bCs/>
                <w:color w:val="auto"/>
                <w:kern w:val="0"/>
                <w:sz w:val="24"/>
                <w:szCs w:val="24"/>
                <w:bdr w:val="none" w:sz="0" w:space="0" w:color="auto"/>
                <w:lang w:val="en-US" w:eastAsia="en-US"/>
              </w:rPr>
            </w:pPr>
            <w:r w:rsidRPr="009140E2">
              <w:rPr>
                <w:rFonts w:ascii="Times New Roman" w:eastAsia="MS Mincho" w:hAnsi="Times New Roman" w:cs="Times New Roman"/>
                <w:b/>
                <w:bCs/>
                <w:color w:val="auto"/>
                <w:kern w:val="0"/>
                <w:sz w:val="24"/>
                <w:szCs w:val="24"/>
                <w:bdr w:val="none" w:sz="0" w:space="0" w:color="auto"/>
                <w:lang w:val="en-US" w:eastAsia="en-US"/>
              </w:rPr>
              <w:t>Potential Outcome</w:t>
            </w:r>
          </w:p>
        </w:tc>
      </w:tr>
      <w:tr w:rsidR="009140E2" w:rsidRPr="009140E2" w14:paraId="6ACA0BF2" w14:textId="77777777" w:rsidTr="00383F97">
        <w:trPr>
          <w:trHeight w:val="300"/>
        </w:trPr>
        <w:tc>
          <w:tcPr>
            <w:tcW w:w="4675" w:type="dxa"/>
          </w:tcPr>
          <w:p w14:paraId="47909B81" w14:textId="77777777" w:rsidR="009140E2" w:rsidRPr="009140E2" w:rsidRDefault="009140E2" w:rsidP="009140E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5"/>
              <w:jc w:val="left"/>
              <w:rPr>
                <w:rFonts w:ascii="Times New Roman" w:eastAsia="MS Mincho" w:hAnsi="Times New Roman" w:cs="Times New Roman"/>
                <w:b/>
                <w:bCs/>
                <w:color w:val="auto"/>
                <w:kern w:val="0"/>
                <w:sz w:val="24"/>
                <w:szCs w:val="24"/>
                <w:bdr w:val="none" w:sz="0" w:space="0" w:color="auto"/>
                <w:lang w:val="en-US" w:eastAsia="en-US"/>
              </w:rPr>
            </w:pPr>
            <w:r w:rsidRPr="009140E2">
              <w:rPr>
                <w:rFonts w:ascii="Times New Roman" w:eastAsia="MS Mincho" w:hAnsi="Times New Roman" w:cs="Times New Roman"/>
                <w:b/>
                <w:bCs/>
                <w:color w:val="auto"/>
                <w:kern w:val="0"/>
                <w:sz w:val="24"/>
                <w:szCs w:val="24"/>
                <w:bdr w:val="none" w:sz="0" w:space="0" w:color="auto"/>
                <w:lang w:val="en-US" w:eastAsia="en-US"/>
              </w:rPr>
              <w:t>Example 1:</w:t>
            </w:r>
          </w:p>
          <w:p w14:paraId="11AA77B6" w14:textId="50AD4ABE" w:rsidR="009140E2" w:rsidRPr="009140E2" w:rsidRDefault="009140E2" w:rsidP="009140E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5"/>
              <w:jc w:val="left"/>
              <w:rPr>
                <w:rFonts w:ascii="Times New Roman" w:eastAsia="MS Mincho" w:hAnsi="Times New Roman" w:cs="Times New Roman"/>
                <w:color w:val="auto"/>
                <w:kern w:val="0"/>
                <w:sz w:val="24"/>
                <w:szCs w:val="24"/>
                <w:bdr w:val="none" w:sz="0" w:space="0" w:color="auto"/>
                <w:lang w:val="en-US" w:eastAsia="en-US"/>
              </w:rPr>
            </w:pPr>
            <w:r w:rsidRPr="009140E2">
              <w:rPr>
                <w:rFonts w:ascii="Times New Roman" w:eastAsia="MS Mincho" w:hAnsi="Times New Roman" w:cs="Times New Roman"/>
                <w:color w:val="auto"/>
                <w:kern w:val="0"/>
                <w:sz w:val="24"/>
                <w:szCs w:val="24"/>
                <w:bdr w:val="none" w:sz="0" w:space="0" w:color="auto"/>
                <w:lang w:val="en-US" w:eastAsia="en-US"/>
              </w:rPr>
              <w:t>Container closure system components for oral drug products are compliant with regional food contact regulations including composition, fabrication, specification, testing results, and in-use limitations specified therein</w:t>
            </w:r>
            <w:r w:rsidR="00D45D69">
              <w:rPr>
                <w:rFonts w:ascii="Times New Roman" w:eastAsia="MS Mincho" w:hAnsi="Times New Roman" w:cs="Times New Roman"/>
                <w:color w:val="auto"/>
                <w:kern w:val="0"/>
                <w:sz w:val="24"/>
                <w:szCs w:val="24"/>
                <w:bdr w:val="none" w:sz="0" w:space="0" w:color="auto"/>
                <w:lang w:val="en-US" w:eastAsia="en-US"/>
              </w:rPr>
              <w:t xml:space="preserve"> </w:t>
            </w:r>
            <w:r w:rsidR="00D45D69" w:rsidRPr="00FD6057">
              <w:rPr>
                <w:rFonts w:ascii="Times New Roman" w:eastAsia="Calibri" w:hAnsi="Times New Roman" w:cs="Times New Roman"/>
                <w:color w:val="auto"/>
              </w:rPr>
              <w:t>(See Section 3.2)</w:t>
            </w:r>
            <w:r w:rsidRPr="009140E2">
              <w:rPr>
                <w:rFonts w:ascii="Times New Roman" w:eastAsia="MS Mincho" w:hAnsi="Times New Roman" w:cs="Times New Roman"/>
                <w:color w:val="auto"/>
                <w:kern w:val="0"/>
                <w:sz w:val="24"/>
                <w:szCs w:val="24"/>
                <w:bdr w:val="none" w:sz="0" w:space="0" w:color="auto"/>
                <w:lang w:val="en-US" w:eastAsia="en-US"/>
              </w:rPr>
              <w:t>.</w:t>
            </w:r>
          </w:p>
        </w:tc>
        <w:tc>
          <w:tcPr>
            <w:tcW w:w="4675" w:type="dxa"/>
            <w:vAlign w:val="center"/>
          </w:tcPr>
          <w:p w14:paraId="53BF3E68" w14:textId="77777777" w:rsidR="009140E2" w:rsidRPr="009140E2" w:rsidRDefault="009140E2" w:rsidP="009140E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left"/>
              <w:rPr>
                <w:rFonts w:ascii="Times New Roman" w:eastAsia="MS Mincho" w:hAnsi="Times New Roman" w:cs="Times New Roman"/>
                <w:color w:val="auto"/>
                <w:kern w:val="0"/>
                <w:sz w:val="24"/>
                <w:szCs w:val="24"/>
                <w:bdr w:val="none" w:sz="0" w:space="0" w:color="auto"/>
                <w:lang w:val="en-US" w:eastAsia="en-US"/>
              </w:rPr>
            </w:pPr>
            <w:r w:rsidRPr="009140E2">
              <w:rPr>
                <w:rFonts w:ascii="Times New Roman" w:eastAsia="Calibri" w:hAnsi="Times New Roman" w:cs="Times New Roman"/>
                <w:color w:val="auto"/>
                <w:kern w:val="0"/>
                <w:sz w:val="24"/>
                <w:szCs w:val="24"/>
                <w:bdr w:val="none" w:sz="0" w:space="0" w:color="auto"/>
                <w:lang w:val="en-US" w:eastAsia="en-US"/>
              </w:rPr>
              <w:t>Components may be considered qualified without additional extractables or leachables testing</w:t>
            </w:r>
            <w:r w:rsidRPr="009140E2">
              <w:rPr>
                <w:rFonts w:ascii="Times New Roman" w:eastAsia="MS Mincho" w:hAnsi="Times New Roman" w:cs="Times New Roman"/>
                <w:color w:val="auto"/>
                <w:kern w:val="0"/>
                <w:sz w:val="24"/>
                <w:szCs w:val="24"/>
                <w:bdr w:val="none" w:sz="0" w:space="0" w:color="auto"/>
                <w:lang w:val="en-US" w:eastAsia="en-US"/>
              </w:rPr>
              <w:t>.</w:t>
            </w:r>
          </w:p>
        </w:tc>
      </w:tr>
      <w:tr w:rsidR="009140E2" w:rsidRPr="009140E2" w14:paraId="33A38278" w14:textId="77777777" w:rsidTr="00383F97">
        <w:trPr>
          <w:trHeight w:val="300"/>
        </w:trPr>
        <w:tc>
          <w:tcPr>
            <w:tcW w:w="4675" w:type="dxa"/>
          </w:tcPr>
          <w:p w14:paraId="64393FE4" w14:textId="77777777" w:rsidR="009140E2" w:rsidRPr="009140E2" w:rsidRDefault="009140E2" w:rsidP="009140E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5"/>
              <w:jc w:val="left"/>
              <w:rPr>
                <w:rFonts w:ascii="Times New Roman" w:eastAsia="MS Mincho" w:hAnsi="Times New Roman" w:cs="Times New Roman"/>
                <w:b/>
                <w:bCs/>
                <w:color w:val="auto"/>
                <w:kern w:val="0"/>
                <w:sz w:val="24"/>
                <w:szCs w:val="24"/>
                <w:bdr w:val="none" w:sz="0" w:space="0" w:color="auto"/>
                <w:lang w:val="en-US" w:eastAsia="en-US"/>
              </w:rPr>
            </w:pPr>
            <w:r w:rsidRPr="009140E2">
              <w:rPr>
                <w:rFonts w:ascii="Times New Roman" w:eastAsia="MS Mincho" w:hAnsi="Times New Roman" w:cs="Times New Roman"/>
                <w:b/>
                <w:bCs/>
                <w:color w:val="auto"/>
                <w:kern w:val="0"/>
                <w:sz w:val="24"/>
                <w:szCs w:val="24"/>
                <w:bdr w:val="none" w:sz="0" w:space="0" w:color="auto"/>
                <w:lang w:val="en-US" w:eastAsia="en-US"/>
              </w:rPr>
              <w:t>Example 2:</w:t>
            </w:r>
          </w:p>
          <w:p w14:paraId="03550D23" w14:textId="393C6720" w:rsidR="009140E2" w:rsidRPr="009140E2" w:rsidRDefault="009140E2" w:rsidP="009140E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5"/>
              <w:jc w:val="left"/>
              <w:rPr>
                <w:rFonts w:ascii="Times New Roman" w:eastAsia="MS Mincho" w:hAnsi="Times New Roman" w:cs="Times New Roman"/>
                <w:color w:val="auto"/>
                <w:kern w:val="0"/>
                <w:sz w:val="24"/>
                <w:szCs w:val="24"/>
                <w:bdr w:val="none" w:sz="0" w:space="0" w:color="auto"/>
                <w:lang w:val="en-US" w:eastAsia="en-US"/>
              </w:rPr>
            </w:pPr>
            <w:r w:rsidRPr="009140E2">
              <w:rPr>
                <w:rFonts w:ascii="Times New Roman" w:eastAsia="MS Mincho" w:hAnsi="Times New Roman" w:cs="Times New Roman"/>
                <w:color w:val="auto"/>
                <w:kern w:val="0"/>
                <w:sz w:val="24"/>
                <w:szCs w:val="24"/>
                <w:bdr w:val="none" w:sz="0" w:space="0" w:color="auto"/>
                <w:lang w:val="en-US" w:eastAsia="en-US"/>
              </w:rPr>
              <w:t xml:space="preserve">Frozen, non-lyophilized drug </w:t>
            </w:r>
            <w:r w:rsidRPr="009140E2">
              <w:rPr>
                <w:rFonts w:ascii="Times New Roman" w:eastAsia="MS Mincho" w:hAnsi="Times New Roman" w:cs="Times New Roman"/>
                <w:color w:val="auto"/>
                <w:kern w:val="0"/>
                <w:sz w:val="24"/>
                <w:szCs w:val="24"/>
                <w:bdr w:val="none" w:sz="0" w:space="0" w:color="auto"/>
                <w:lang w:eastAsia="en-US"/>
              </w:rPr>
              <w:t xml:space="preserve">product stored in a well-characterized </w:t>
            </w:r>
            <w:r w:rsidRPr="009140E2">
              <w:rPr>
                <w:rFonts w:ascii="Times New Roman" w:eastAsia="Times New Roman" w:hAnsi="Times New Roman" w:cs="Times New Roman"/>
                <w:color w:val="auto"/>
                <w:kern w:val="0"/>
                <w:sz w:val="24"/>
                <w:szCs w:val="24"/>
                <w:bdr w:val="none" w:sz="0" w:space="0" w:color="auto"/>
                <w:lang w:eastAsia="en-US"/>
              </w:rPr>
              <w:t>packaging system</w:t>
            </w:r>
            <w:r w:rsidRPr="009140E2">
              <w:rPr>
                <w:rFonts w:ascii="Times New Roman" w:eastAsia="MS Mincho" w:hAnsi="Times New Roman" w:cs="Times New Roman"/>
                <w:color w:val="auto"/>
                <w:kern w:val="0"/>
                <w:sz w:val="24"/>
                <w:szCs w:val="24"/>
                <w:bdr w:val="none" w:sz="0" w:space="0" w:color="auto"/>
                <w:lang w:eastAsia="en-US"/>
              </w:rPr>
              <w:t xml:space="preserve"> (i.e., prior knowledge provided by the applicant). Drug product is thawed and administered within a short time-period and the duration between initiation of filling and freezing is also short (e.g., &lt; 24 hours)</w:t>
            </w:r>
            <w:r w:rsidR="00D45D69">
              <w:rPr>
                <w:rFonts w:ascii="Times New Roman" w:eastAsia="MS Mincho" w:hAnsi="Times New Roman" w:cs="Times New Roman"/>
                <w:color w:val="auto"/>
                <w:kern w:val="0"/>
                <w:sz w:val="24"/>
                <w:szCs w:val="24"/>
                <w:bdr w:val="none" w:sz="0" w:space="0" w:color="auto"/>
                <w:lang w:eastAsia="en-US"/>
              </w:rPr>
              <w:t xml:space="preserve"> </w:t>
            </w:r>
            <w:r w:rsidR="00D45D69" w:rsidRPr="00FD6057">
              <w:rPr>
                <w:rFonts w:ascii="Times New Roman" w:eastAsia="Calibri" w:hAnsi="Times New Roman" w:cs="Times New Roman"/>
                <w:color w:val="auto"/>
              </w:rPr>
              <w:t>(See Section 3.</w:t>
            </w:r>
            <w:r w:rsidR="00D45D69">
              <w:rPr>
                <w:rFonts w:ascii="Times New Roman" w:eastAsia="Calibri" w:hAnsi="Times New Roman" w:cs="Times New Roman"/>
                <w:color w:val="auto"/>
              </w:rPr>
              <w:t>4.1</w:t>
            </w:r>
            <w:r w:rsidR="00D45D69" w:rsidRPr="00FD6057">
              <w:rPr>
                <w:rFonts w:ascii="Times New Roman" w:eastAsia="Calibri" w:hAnsi="Times New Roman" w:cs="Times New Roman"/>
                <w:color w:val="auto"/>
              </w:rPr>
              <w:t>)</w:t>
            </w:r>
            <w:r w:rsidRPr="009140E2">
              <w:rPr>
                <w:rFonts w:ascii="Times New Roman" w:eastAsia="MS Mincho" w:hAnsi="Times New Roman" w:cs="Times New Roman"/>
                <w:color w:val="auto"/>
                <w:kern w:val="0"/>
                <w:sz w:val="24"/>
                <w:szCs w:val="24"/>
                <w:bdr w:val="none" w:sz="0" w:space="0" w:color="auto"/>
                <w:lang w:eastAsia="en-US"/>
              </w:rPr>
              <w:t>.</w:t>
            </w:r>
          </w:p>
        </w:tc>
        <w:tc>
          <w:tcPr>
            <w:tcW w:w="4675" w:type="dxa"/>
            <w:vAlign w:val="center"/>
          </w:tcPr>
          <w:p w14:paraId="70E59C21" w14:textId="77777777" w:rsidR="009140E2" w:rsidRPr="009140E2" w:rsidRDefault="009140E2" w:rsidP="009140E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left"/>
              <w:rPr>
                <w:rFonts w:ascii="Times New Roman" w:eastAsia="MS Mincho" w:hAnsi="Times New Roman" w:cs="Times New Roman"/>
                <w:b/>
                <w:bCs/>
                <w:color w:val="auto"/>
                <w:kern w:val="0"/>
                <w:sz w:val="24"/>
                <w:szCs w:val="24"/>
                <w:bdr w:val="none" w:sz="0" w:space="0" w:color="auto"/>
                <w:lang w:val="en-US" w:eastAsia="en-US"/>
              </w:rPr>
            </w:pPr>
            <w:r w:rsidRPr="009140E2">
              <w:rPr>
                <w:rFonts w:ascii="Times New Roman" w:eastAsia="MS Mincho" w:hAnsi="Times New Roman" w:cs="Times New Roman"/>
                <w:color w:val="auto"/>
                <w:kern w:val="0"/>
                <w:sz w:val="24"/>
                <w:szCs w:val="24"/>
                <w:bdr w:val="none" w:sz="0" w:space="0" w:color="auto"/>
                <w:lang w:val="en-US" w:eastAsia="en-US"/>
              </w:rPr>
              <w:t>Quantitative extraction studies using appropriate solvent with adequately exaggerated duration may be considered qualified.</w:t>
            </w:r>
          </w:p>
        </w:tc>
      </w:tr>
      <w:tr w:rsidR="6C090D8B" w14:paraId="25204ED9" w14:textId="77777777" w:rsidTr="6C090D8B">
        <w:trPr>
          <w:trHeight w:val="300"/>
        </w:trPr>
        <w:tc>
          <w:tcPr>
            <w:tcW w:w="4526" w:type="dxa"/>
          </w:tcPr>
          <w:p w14:paraId="2AB0CF8F" w14:textId="1AAAB347" w:rsidR="005227A2" w:rsidRPr="009140E2" w:rsidRDefault="005227A2" w:rsidP="005227A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5"/>
              <w:jc w:val="left"/>
              <w:rPr>
                <w:rFonts w:ascii="Times New Roman" w:eastAsia="MS Mincho" w:hAnsi="Times New Roman" w:cs="Times New Roman"/>
                <w:b/>
                <w:bCs/>
                <w:color w:val="auto"/>
                <w:kern w:val="0"/>
                <w:sz w:val="24"/>
                <w:szCs w:val="24"/>
                <w:bdr w:val="none" w:sz="0" w:space="0" w:color="auto"/>
                <w:lang w:val="en-US" w:eastAsia="en-US"/>
              </w:rPr>
            </w:pPr>
            <w:r w:rsidRPr="009140E2">
              <w:rPr>
                <w:rFonts w:ascii="Times New Roman" w:eastAsia="MS Mincho" w:hAnsi="Times New Roman" w:cs="Times New Roman"/>
                <w:b/>
                <w:bCs/>
                <w:color w:val="auto"/>
                <w:kern w:val="0"/>
                <w:sz w:val="24"/>
                <w:szCs w:val="24"/>
                <w:bdr w:val="none" w:sz="0" w:space="0" w:color="auto"/>
                <w:lang w:val="en-US" w:eastAsia="en-US"/>
              </w:rPr>
              <w:t xml:space="preserve">Example </w:t>
            </w:r>
            <w:r w:rsidR="00A37464">
              <w:rPr>
                <w:rFonts w:ascii="Times New Roman" w:eastAsia="MS Mincho" w:hAnsi="Times New Roman" w:cs="Times New Roman"/>
                <w:b/>
                <w:bCs/>
                <w:color w:val="auto"/>
                <w:kern w:val="0"/>
                <w:sz w:val="24"/>
                <w:szCs w:val="24"/>
                <w:bdr w:val="none" w:sz="0" w:space="0" w:color="auto"/>
                <w:lang w:val="en-US" w:eastAsia="en-US"/>
              </w:rPr>
              <w:t>3</w:t>
            </w:r>
            <w:r w:rsidRPr="009140E2">
              <w:rPr>
                <w:rFonts w:ascii="Times New Roman" w:eastAsia="MS Mincho" w:hAnsi="Times New Roman" w:cs="Times New Roman"/>
                <w:b/>
                <w:bCs/>
                <w:color w:val="auto"/>
                <w:kern w:val="0"/>
                <w:sz w:val="24"/>
                <w:szCs w:val="24"/>
                <w:bdr w:val="none" w:sz="0" w:space="0" w:color="auto"/>
                <w:lang w:val="en-US" w:eastAsia="en-US"/>
              </w:rPr>
              <w:t>:</w:t>
            </w:r>
          </w:p>
          <w:p w14:paraId="38D4CB0A" w14:textId="77777777" w:rsidR="00A37464" w:rsidRDefault="00A37464" w:rsidP="00A37464">
            <w:pPr>
              <w:ind w:left="168"/>
              <w:jc w:val="left"/>
              <w:rPr>
                <w:rFonts w:ascii="Times New Roman" w:eastAsia="MS Mincho" w:hAnsi="Times New Roman" w:cs="Times New Roman"/>
                <w:color w:val="auto"/>
                <w:sz w:val="24"/>
                <w:szCs w:val="24"/>
                <w:lang w:val="en-US" w:eastAsia="en-US"/>
              </w:rPr>
            </w:pPr>
            <w:r w:rsidRPr="3E8D1842">
              <w:rPr>
                <w:rFonts w:ascii="Times New Roman" w:eastAsia="MS Mincho" w:hAnsi="Times New Roman" w:cs="Times New Roman"/>
                <w:color w:val="auto"/>
                <w:sz w:val="24"/>
                <w:szCs w:val="24"/>
                <w:lang w:val="en-US" w:eastAsia="en-US"/>
              </w:rPr>
              <w:t xml:space="preserve">Delivery device components with very </w:t>
            </w:r>
            <w:r>
              <w:rPr>
                <w:rFonts w:ascii="Times New Roman" w:eastAsia="MS Mincho" w:hAnsi="Times New Roman" w:cs="Times New Roman"/>
                <w:color w:val="auto"/>
                <w:sz w:val="24"/>
                <w:szCs w:val="24"/>
                <w:lang w:val="en-US" w:eastAsia="en-US"/>
              </w:rPr>
              <w:t>short</w:t>
            </w:r>
            <w:r w:rsidRPr="3E8D1842">
              <w:rPr>
                <w:rFonts w:ascii="Times New Roman" w:eastAsia="MS Mincho" w:hAnsi="Times New Roman" w:cs="Times New Roman"/>
                <w:color w:val="auto"/>
                <w:sz w:val="24"/>
                <w:szCs w:val="24"/>
                <w:lang w:val="en-US" w:eastAsia="en-US"/>
              </w:rPr>
              <w:t xml:space="preserve">/transient contact </w:t>
            </w:r>
            <w:r>
              <w:rPr>
                <w:rFonts w:ascii="Times New Roman" w:eastAsia="MS Mincho" w:hAnsi="Times New Roman" w:cs="Times New Roman"/>
                <w:color w:val="auto"/>
                <w:sz w:val="24"/>
                <w:szCs w:val="24"/>
                <w:lang w:val="en-US" w:eastAsia="en-US"/>
              </w:rPr>
              <w:t>with</w:t>
            </w:r>
            <w:r w:rsidRPr="57A04B07">
              <w:rPr>
                <w:rFonts w:ascii="Times New Roman" w:eastAsia="MS Mincho" w:hAnsi="Times New Roman" w:cs="Times New Roman"/>
                <w:color w:val="auto"/>
                <w:sz w:val="24"/>
                <w:szCs w:val="24"/>
                <w:lang w:val="en-US" w:eastAsia="en-US"/>
              </w:rPr>
              <w:t xml:space="preserve"> </w:t>
            </w:r>
            <w:r w:rsidRPr="3E8D1842">
              <w:rPr>
                <w:rFonts w:ascii="Times New Roman" w:eastAsia="MS Mincho" w:hAnsi="Times New Roman" w:cs="Times New Roman"/>
                <w:color w:val="auto"/>
                <w:sz w:val="24"/>
                <w:szCs w:val="24"/>
                <w:lang w:val="en-US" w:eastAsia="en-US"/>
              </w:rPr>
              <w:t>oral drug products (e.g., oral syringes, oral dosing cups) are compliant with regional food contact regulations.</w:t>
            </w:r>
          </w:p>
          <w:p w14:paraId="25B464C3" w14:textId="172AE3AE" w:rsidR="33A3D1FB" w:rsidRPr="007146A2" w:rsidRDefault="33A3D1FB" w:rsidP="00A37464">
            <w:pPr>
              <w:ind w:left="169"/>
              <w:jc w:val="left"/>
              <w:rPr>
                <w:rFonts w:ascii="Times New Roman" w:eastAsia="MS Mincho" w:hAnsi="Times New Roman" w:cs="Times New Roman"/>
                <w:color w:val="auto"/>
                <w:sz w:val="24"/>
                <w:szCs w:val="24"/>
                <w:lang w:val="en-US" w:eastAsia="en-US"/>
              </w:rPr>
            </w:pPr>
          </w:p>
        </w:tc>
        <w:tc>
          <w:tcPr>
            <w:tcW w:w="4490" w:type="dxa"/>
            <w:vAlign w:val="center"/>
          </w:tcPr>
          <w:p w14:paraId="545DC84B" w14:textId="5078449B" w:rsidR="6C090D8B" w:rsidRDefault="33A3D1FB" w:rsidP="6C090D8B">
            <w:pPr>
              <w:jc w:val="left"/>
              <w:rPr>
                <w:rFonts w:ascii="Times New Roman" w:eastAsia="MS Mincho" w:hAnsi="Times New Roman" w:cs="Times New Roman"/>
                <w:color w:val="auto"/>
                <w:sz w:val="24"/>
                <w:szCs w:val="24"/>
                <w:lang w:val="en-US" w:eastAsia="en-US"/>
              </w:rPr>
            </w:pPr>
            <w:r w:rsidRPr="2A2EBB6C">
              <w:rPr>
                <w:rFonts w:ascii="Times New Roman" w:eastAsia="MS Mincho" w:hAnsi="Times New Roman" w:cs="Times New Roman"/>
                <w:color w:val="auto"/>
                <w:sz w:val="24"/>
                <w:szCs w:val="24"/>
                <w:lang w:val="en-US" w:eastAsia="en-US"/>
              </w:rPr>
              <w:t xml:space="preserve">Components considered qualified without additional extractables or leachables </w:t>
            </w:r>
            <w:r w:rsidR="38F86460" w:rsidRPr="2E386006">
              <w:rPr>
                <w:rFonts w:ascii="Times New Roman" w:eastAsia="MS Mincho" w:hAnsi="Times New Roman" w:cs="Times New Roman"/>
                <w:color w:val="auto"/>
                <w:sz w:val="24"/>
                <w:szCs w:val="24"/>
                <w:lang w:val="en-US" w:eastAsia="en-US"/>
              </w:rPr>
              <w:t>testing.</w:t>
            </w:r>
          </w:p>
        </w:tc>
      </w:tr>
    </w:tbl>
    <w:p w14:paraId="22D11654" w14:textId="77777777" w:rsidR="009140E2" w:rsidRPr="009140E2" w:rsidRDefault="009140E2" w:rsidP="009140E2">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rPr>
          <w:rFonts w:ascii="Arial" w:eastAsia="Calibri" w:hAnsi="Arial" w:cs="Arial"/>
          <w:color w:val="auto"/>
          <w:kern w:val="0"/>
          <w:sz w:val="22"/>
          <w:szCs w:val="22"/>
          <w:bdr w:val="none" w:sz="0" w:space="0" w:color="auto"/>
          <w:lang w:eastAsia="en-US"/>
          <w14:ligatures w14:val="standardContextual"/>
        </w:rPr>
      </w:pPr>
    </w:p>
    <w:p w14:paraId="4A525B19" w14:textId="77777777" w:rsidR="009140E2" w:rsidRPr="003F3D5F" w:rsidRDefault="009140E2" w:rsidP="009140E2">
      <w:pPr>
        <w:pStyle w:val="ICHTextOnly"/>
        <w:rPr>
          <w:sz w:val="20"/>
          <w:szCs w:val="20"/>
          <w:bdr w:val="none" w:sz="0" w:space="0" w:color="auto"/>
          <w:lang w:eastAsia="en-US"/>
        </w:rPr>
      </w:pPr>
      <w:r w:rsidRPr="003F3D5F">
        <w:rPr>
          <w:sz w:val="20"/>
          <w:szCs w:val="20"/>
          <w:bdr w:val="none" w:sz="0" w:space="0" w:color="auto"/>
          <w:lang w:eastAsia="en-US"/>
        </w:rPr>
        <w:t>Note 1 for Table A.1.1 and Table A.1.2:</w:t>
      </w:r>
    </w:p>
    <w:p w14:paraId="547DABF7" w14:textId="77777777" w:rsidR="009140E2" w:rsidRPr="003F3D5F" w:rsidRDefault="009140E2" w:rsidP="009140E2">
      <w:pPr>
        <w:pStyle w:val="ICHTextOnly"/>
        <w:rPr>
          <w:sz w:val="20"/>
          <w:szCs w:val="20"/>
          <w:bdr w:val="none" w:sz="0" w:space="0" w:color="auto"/>
          <w:lang w:eastAsia="en-US"/>
        </w:rPr>
      </w:pPr>
      <w:r w:rsidRPr="003F3D5F">
        <w:rPr>
          <w:sz w:val="20"/>
          <w:szCs w:val="20"/>
          <w:bdr w:val="none" w:sz="0" w:space="0" w:color="auto"/>
          <w:lang w:eastAsia="en-US"/>
        </w:rPr>
        <w:t>Refer to section 4.3 for recommendations for extractable and leachable study, as appropriate.</w:t>
      </w:r>
    </w:p>
    <w:p w14:paraId="743B136B" w14:textId="77777777" w:rsidR="009140E2" w:rsidRPr="003F3D5F" w:rsidRDefault="009140E2" w:rsidP="009140E2">
      <w:pPr>
        <w:pStyle w:val="ICHTextOnly"/>
        <w:rPr>
          <w:sz w:val="20"/>
          <w:szCs w:val="20"/>
          <w:bdr w:val="none" w:sz="0" w:space="0" w:color="auto"/>
          <w:lang w:eastAsia="en-US"/>
        </w:rPr>
      </w:pPr>
      <w:r w:rsidRPr="003F3D5F">
        <w:rPr>
          <w:sz w:val="20"/>
          <w:szCs w:val="20"/>
          <w:bdr w:val="none" w:sz="0" w:space="0" w:color="auto"/>
          <w:lang w:eastAsia="en-US"/>
        </w:rPr>
        <w:t>Refer to section 3.5 for recommendation for appropriate documentation and compliance, as appropriate.</w:t>
      </w:r>
    </w:p>
    <w:p w14:paraId="1964F745" w14:textId="778E72DA" w:rsidR="009140E2" w:rsidRPr="003F3D5F" w:rsidRDefault="009140E2" w:rsidP="009140E2">
      <w:pPr>
        <w:pStyle w:val="ICHTextOnly"/>
        <w:rPr>
          <w:rFonts w:eastAsia="Arial"/>
          <w:sz w:val="20"/>
          <w:szCs w:val="20"/>
          <w:bdr w:val="none" w:sz="0" w:space="0" w:color="auto"/>
          <w:lang w:val="en-US" w:eastAsia="en-US"/>
        </w:rPr>
      </w:pPr>
      <w:r w:rsidRPr="003F3D5F">
        <w:rPr>
          <w:rFonts w:eastAsia="MS Mincho"/>
          <w:sz w:val="20"/>
          <w:szCs w:val="20"/>
          <w:bdr w:val="none" w:sz="0" w:space="0" w:color="auto"/>
          <w:lang w:val="en-US" w:eastAsia="en-US"/>
        </w:rPr>
        <w:t xml:space="preserve">*If no or few extractables are detected above the AET, </w:t>
      </w:r>
      <w:r w:rsidRPr="003F3D5F">
        <w:rPr>
          <w:rFonts w:eastAsia="Arial"/>
          <w:sz w:val="20"/>
          <w:szCs w:val="20"/>
          <w:bdr w:val="none" w:sz="0" w:space="0" w:color="auto"/>
          <w:lang w:val="en-US" w:eastAsia="en-US"/>
        </w:rPr>
        <w:t>and below their applicable safety threshold (such as Class 3 leachables; See Section 6)</w:t>
      </w:r>
      <w:r w:rsidRPr="003F3D5F">
        <w:rPr>
          <w:rFonts w:eastAsia="MS Mincho"/>
          <w:sz w:val="20"/>
          <w:szCs w:val="20"/>
          <w:bdr w:val="none" w:sz="0" w:space="0" w:color="auto"/>
          <w:lang w:val="en-US" w:eastAsia="en-US"/>
        </w:rPr>
        <w:t xml:space="preserve">, in conjunction with prior knowledge </w:t>
      </w:r>
      <w:r w:rsidRPr="003F3D5F">
        <w:rPr>
          <w:rFonts w:eastAsia="Arial"/>
          <w:sz w:val="20"/>
          <w:szCs w:val="20"/>
          <w:bdr w:val="none" w:sz="0" w:space="0" w:color="auto"/>
          <w:lang w:val="en-US" w:eastAsia="en-US"/>
        </w:rPr>
        <w:t>an abbreviated data package may be warranted with adequate justification</w:t>
      </w:r>
      <w:r w:rsidRPr="003F3D5F">
        <w:rPr>
          <w:rFonts w:eastAsia="MS Mincho"/>
          <w:sz w:val="20"/>
          <w:szCs w:val="20"/>
          <w:bdr w:val="none" w:sz="0" w:space="0" w:color="auto"/>
          <w:lang w:val="en-US" w:eastAsia="en-US"/>
        </w:rPr>
        <w:t xml:space="preserve">. </w:t>
      </w:r>
      <w:r w:rsidRPr="003F3D5F">
        <w:rPr>
          <w:rFonts w:eastAsia="Arial"/>
          <w:sz w:val="20"/>
          <w:szCs w:val="20"/>
          <w:bdr w:val="none" w:sz="0" w:space="0" w:color="auto"/>
          <w:lang w:val="en-US" w:eastAsia="en-US"/>
        </w:rPr>
        <w:t>When an abbreviated data package is proposed, c</w:t>
      </w:r>
      <w:r w:rsidRPr="003F3D5F">
        <w:rPr>
          <w:rFonts w:eastAsia="MS Mincho"/>
          <w:sz w:val="20"/>
          <w:szCs w:val="20"/>
          <w:bdr w:val="none" w:sz="0" w:space="0" w:color="auto"/>
          <w:lang w:val="en-US" w:eastAsia="en-US"/>
        </w:rPr>
        <w:t>ommunications with relevant regional Regulatory Agency/Health Authority is recommended to align on approach</w:t>
      </w:r>
      <w:r w:rsidRPr="003F3D5F">
        <w:rPr>
          <w:rFonts w:eastAsia="Arial"/>
          <w:sz w:val="20"/>
          <w:szCs w:val="20"/>
          <w:bdr w:val="none" w:sz="0" w:space="0" w:color="auto"/>
          <w:lang w:val="en-US" w:eastAsia="en-US"/>
        </w:rPr>
        <w:t xml:space="preserve">. </w:t>
      </w:r>
    </w:p>
    <w:p w14:paraId="75CD3A1A" w14:textId="77777777" w:rsidR="009F12C6" w:rsidRDefault="009F12C6" w:rsidP="009140E2">
      <w:pPr>
        <w:pStyle w:val="ICHTextOnly"/>
        <w:rPr>
          <w:rFonts w:eastAsia="MS Mincho"/>
          <w:bdr w:val="none" w:sz="0" w:space="0" w:color="auto"/>
          <w:lang w:val="en-US" w:eastAsia="en-US"/>
        </w:rPr>
      </w:pPr>
    </w:p>
    <w:p w14:paraId="7FE1207C" w14:textId="76ADCDA4" w:rsidR="009F12C6" w:rsidRPr="007737C1" w:rsidRDefault="009F12C6" w:rsidP="007737C1">
      <w:pPr>
        <w:pStyle w:val="Heading1"/>
        <w:numPr>
          <w:ilvl w:val="0"/>
          <w:numId w:val="0"/>
        </w:numPr>
      </w:pPr>
      <w:bookmarkStart w:id="41" w:name="_Toc193885949"/>
      <w:bookmarkStart w:id="42" w:name="_Toc201662531"/>
      <w:r w:rsidRPr="007737C1">
        <w:t>Appendix 2</w:t>
      </w:r>
      <w:r w:rsidR="007737C1">
        <w:t>:</w:t>
      </w:r>
      <w:r w:rsidRPr="007737C1">
        <w:t xml:space="preserve"> </w:t>
      </w:r>
      <w:bookmarkEnd w:id="41"/>
      <w:r w:rsidR="00947C2D" w:rsidRPr="007737C1">
        <w:t>Types of Studies</w:t>
      </w:r>
      <w:bookmarkEnd w:id="42"/>
    </w:p>
    <w:p w14:paraId="6256BF6D" w14:textId="77777777" w:rsidR="009F12C6" w:rsidRPr="009F12C6" w:rsidRDefault="009F12C6" w:rsidP="009F12C6">
      <w:pPr>
        <w:pStyle w:val="ICHTextOnly"/>
        <w:jc w:val="center"/>
        <w:rPr>
          <w:b/>
          <w:bCs/>
        </w:rPr>
      </w:pPr>
      <w:r w:rsidRPr="009F12C6">
        <w:rPr>
          <w:b/>
          <w:bCs/>
        </w:rPr>
        <w:t>Table A.2.1: Summary of Extractable, Leachable and Simulated Leachable Studies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8066"/>
      </w:tblGrid>
      <w:tr w:rsidR="00427C5C" w:rsidRPr="00F91689" w14:paraId="140CF9EB" w14:textId="77777777" w:rsidTr="00383F97">
        <w:trPr>
          <w:trHeight w:val="197"/>
        </w:trPr>
        <w:tc>
          <w:tcPr>
            <w:tcW w:w="1470" w:type="dxa"/>
            <w:tcBorders>
              <w:top w:val="single" w:sz="4" w:space="0" w:color="auto"/>
              <w:left w:val="single" w:sz="4" w:space="0" w:color="auto"/>
              <w:bottom w:val="single" w:sz="4" w:space="0" w:color="auto"/>
              <w:right w:val="single" w:sz="4" w:space="0" w:color="auto"/>
            </w:tcBorders>
            <w:shd w:val="clear" w:color="auto" w:fill="auto"/>
          </w:tcPr>
          <w:p w14:paraId="1BFBB398" w14:textId="77777777" w:rsidR="00427C5C" w:rsidRPr="00427C5C" w:rsidRDefault="00427C5C" w:rsidP="00383F97">
            <w:pPr>
              <w:spacing w:line="259" w:lineRule="auto"/>
              <w:ind w:left="-113" w:right="-53"/>
              <w:jc w:val="center"/>
              <w:rPr>
                <w:rFonts w:ascii="Times New Roman" w:hAnsi="Times New Roman" w:cs="Times New Roman"/>
                <w:b/>
                <w:bCs/>
                <w:sz w:val="24"/>
                <w:szCs w:val="24"/>
              </w:rPr>
            </w:pPr>
            <w:r w:rsidRPr="00427C5C">
              <w:rPr>
                <w:rFonts w:ascii="Times New Roman" w:hAnsi="Times New Roman" w:cs="Times New Roman"/>
                <w:b/>
                <w:bCs/>
                <w:sz w:val="24"/>
                <w:szCs w:val="24"/>
              </w:rPr>
              <w:t>Study Type</w:t>
            </w:r>
          </w:p>
        </w:tc>
        <w:tc>
          <w:tcPr>
            <w:tcW w:w="8023" w:type="dxa"/>
            <w:tcBorders>
              <w:top w:val="single" w:sz="4" w:space="0" w:color="auto"/>
              <w:left w:val="single" w:sz="4" w:space="0" w:color="auto"/>
              <w:bottom w:val="single" w:sz="4" w:space="0" w:color="auto"/>
              <w:right w:val="single" w:sz="4" w:space="0" w:color="auto"/>
            </w:tcBorders>
            <w:shd w:val="clear" w:color="auto" w:fill="auto"/>
          </w:tcPr>
          <w:p w14:paraId="22258285" w14:textId="77777777" w:rsidR="00427C5C" w:rsidRPr="00427C5C" w:rsidRDefault="00427C5C" w:rsidP="00383F97">
            <w:pPr>
              <w:spacing w:line="259" w:lineRule="auto"/>
              <w:ind w:left="-91"/>
              <w:jc w:val="center"/>
              <w:rPr>
                <w:rFonts w:ascii="Times New Roman" w:hAnsi="Times New Roman" w:cs="Times New Roman"/>
                <w:b/>
                <w:bCs/>
                <w:sz w:val="24"/>
                <w:szCs w:val="24"/>
              </w:rPr>
            </w:pPr>
            <w:r w:rsidRPr="00427C5C">
              <w:rPr>
                <w:rFonts w:ascii="Times New Roman" w:hAnsi="Times New Roman" w:cs="Times New Roman"/>
                <w:b/>
                <w:bCs/>
                <w:sz w:val="24"/>
                <w:szCs w:val="24"/>
              </w:rPr>
              <w:t>Summary</w:t>
            </w:r>
          </w:p>
        </w:tc>
      </w:tr>
      <w:tr w:rsidR="00427C5C" w:rsidRPr="00F91689" w14:paraId="554CAFCD" w14:textId="77777777" w:rsidTr="009F24AD">
        <w:tc>
          <w:tcPr>
            <w:tcW w:w="1470" w:type="dxa"/>
            <w:tcBorders>
              <w:top w:val="single" w:sz="4" w:space="0" w:color="auto"/>
            </w:tcBorders>
            <w:shd w:val="clear" w:color="auto" w:fill="auto"/>
            <w:vAlign w:val="center"/>
          </w:tcPr>
          <w:p w14:paraId="50DC586E" w14:textId="77777777" w:rsidR="00427C5C" w:rsidRPr="00427C5C" w:rsidRDefault="00427C5C" w:rsidP="00383F97">
            <w:pPr>
              <w:spacing w:line="259" w:lineRule="auto"/>
              <w:rPr>
                <w:rFonts w:ascii="Times New Roman" w:hAnsi="Times New Roman" w:cs="Times New Roman"/>
                <w:b/>
                <w:sz w:val="24"/>
                <w:szCs w:val="24"/>
              </w:rPr>
            </w:pPr>
            <w:r w:rsidRPr="00427C5C">
              <w:rPr>
                <w:rFonts w:ascii="Times New Roman" w:hAnsi="Times New Roman" w:cs="Times New Roman"/>
                <w:b/>
                <w:bCs/>
                <w:sz w:val="24"/>
                <w:szCs w:val="24"/>
              </w:rPr>
              <w:t>Extractable</w:t>
            </w:r>
          </w:p>
        </w:tc>
        <w:tc>
          <w:tcPr>
            <w:tcW w:w="0" w:type="auto"/>
            <w:tcBorders>
              <w:top w:val="single" w:sz="4" w:space="0" w:color="auto"/>
            </w:tcBorders>
            <w:shd w:val="clear" w:color="auto" w:fill="auto"/>
            <w:vAlign w:val="center"/>
          </w:tcPr>
          <w:p w14:paraId="3039464F" w14:textId="77777777" w:rsidR="00427C5C" w:rsidRPr="00427C5C" w:rsidRDefault="00427C5C" w:rsidP="00383F97">
            <w:pPr>
              <w:spacing w:after="80" w:line="259" w:lineRule="auto"/>
              <w:rPr>
                <w:rFonts w:ascii="Times New Roman" w:hAnsi="Times New Roman" w:cs="Times New Roman"/>
                <w:b/>
                <w:bCs/>
                <w:sz w:val="24"/>
                <w:szCs w:val="24"/>
                <w:u w:val="single"/>
              </w:rPr>
            </w:pPr>
            <w:r w:rsidRPr="00427C5C">
              <w:rPr>
                <w:rFonts w:ascii="Times New Roman" w:hAnsi="Times New Roman" w:cs="Times New Roman"/>
                <w:b/>
                <w:bCs/>
                <w:sz w:val="24"/>
                <w:szCs w:val="24"/>
                <w:u w:val="single"/>
              </w:rPr>
              <w:t>Experimental Conditions:</w:t>
            </w:r>
          </w:p>
          <w:p w14:paraId="204B1014" w14:textId="77777777" w:rsidR="00427C5C" w:rsidRPr="00427C5C" w:rsidRDefault="00427C5C" w:rsidP="00975060">
            <w:pPr>
              <w:pStyle w:val="ListParagraph"/>
              <w:spacing w:line="259" w:lineRule="auto"/>
              <w:ind w:left="0"/>
            </w:pPr>
            <w:r w:rsidRPr="00427C5C">
              <w:t xml:space="preserve">Employs relatively aggressive conditions incorporating solvents and extraction conditions relevant to the anticipated leaching propensity of the drug product formulation under worst-case conditions to extract a greater number and/or </w:t>
            </w:r>
            <w:proofErr w:type="gramStart"/>
            <w:r w:rsidRPr="00427C5C">
              <w:t>amount</w:t>
            </w:r>
            <w:proofErr w:type="gramEnd"/>
            <w:r w:rsidRPr="00427C5C">
              <w:t xml:space="preserve"> of chemical entities than generated under actual-use conditions without inducing a chemical change in chemical entities or material being extracted. Commonly, a range of solvents that are representative of the drug product formulation are used.</w:t>
            </w:r>
          </w:p>
          <w:p w14:paraId="7AB49EC3" w14:textId="77777777" w:rsidR="00427C5C" w:rsidRPr="00427C5C" w:rsidRDefault="00427C5C" w:rsidP="00383F97">
            <w:pPr>
              <w:spacing w:after="80" w:line="259" w:lineRule="auto"/>
              <w:rPr>
                <w:rFonts w:ascii="Times New Roman" w:hAnsi="Times New Roman" w:cs="Times New Roman"/>
                <w:sz w:val="24"/>
                <w:szCs w:val="24"/>
              </w:rPr>
            </w:pPr>
            <w:r w:rsidRPr="00427C5C">
              <w:rPr>
                <w:rFonts w:ascii="Times New Roman" w:hAnsi="Times New Roman" w:cs="Times New Roman"/>
                <w:b/>
                <w:bCs/>
                <w:sz w:val="24"/>
                <w:szCs w:val="24"/>
                <w:u w:val="single"/>
              </w:rPr>
              <w:t>Purpose:</w:t>
            </w:r>
          </w:p>
          <w:p w14:paraId="7E3B9453" w14:textId="4B512B2B" w:rsidR="00427C5C" w:rsidRPr="00427C5C" w:rsidRDefault="00427C5C" w:rsidP="00975060">
            <w:pPr>
              <w:pStyle w:val="ListParagraph"/>
              <w:spacing w:line="259" w:lineRule="auto"/>
              <w:ind w:left="0"/>
            </w:pPr>
            <w:r w:rsidRPr="00427C5C">
              <w:t xml:space="preserve">Material/component characterization and </w:t>
            </w:r>
            <w:r w:rsidR="00BF1ADB">
              <w:t xml:space="preserve">to </w:t>
            </w:r>
            <w:r w:rsidRPr="00427C5C">
              <w:t xml:space="preserve">provide suitable data for hazard </w:t>
            </w:r>
            <w:r w:rsidRPr="00427C5C" w:rsidDel="0017486F">
              <w:t xml:space="preserve">assessment </w:t>
            </w:r>
            <w:r w:rsidRPr="00427C5C">
              <w:t xml:space="preserve">to guide component selection. Under certain low risk scenarios (see Appendix 1), </w:t>
            </w:r>
            <w:r w:rsidR="00165125">
              <w:t xml:space="preserve">quality </w:t>
            </w:r>
            <w:r w:rsidRPr="00427C5C">
              <w:t>risk assessment of extractables may be leveraged for material/component qualification.</w:t>
            </w:r>
          </w:p>
          <w:p w14:paraId="4EB62D29" w14:textId="77777777" w:rsidR="00427C5C" w:rsidRPr="00427C5C" w:rsidRDefault="00427C5C" w:rsidP="00975060">
            <w:pPr>
              <w:pStyle w:val="ListParagraph"/>
              <w:spacing w:line="259" w:lineRule="auto"/>
              <w:ind w:left="0"/>
            </w:pPr>
            <w:r w:rsidRPr="00427C5C">
              <w:t>Generate chemical entities (potential leachables) that exaggerate (in number and quantity) what will be observed as actual leachables.</w:t>
            </w:r>
          </w:p>
          <w:p w14:paraId="3DEF6539" w14:textId="77777777" w:rsidR="00427C5C" w:rsidRPr="00427C5C" w:rsidRDefault="00427C5C" w:rsidP="00975060">
            <w:pPr>
              <w:pStyle w:val="ListParagraph"/>
              <w:spacing w:line="259" w:lineRule="auto"/>
              <w:ind w:left="0"/>
            </w:pPr>
            <w:r w:rsidRPr="00427C5C">
              <w:t>Evaluate chemical entities that may practically be expected to leach under intended use conditions.</w:t>
            </w:r>
          </w:p>
          <w:p w14:paraId="240B01B1" w14:textId="2F910747" w:rsidR="00427C5C" w:rsidRPr="00427C5C" w:rsidRDefault="00427C5C" w:rsidP="00975060">
            <w:pPr>
              <w:pStyle w:val="ListParagraph"/>
              <w:spacing w:line="259" w:lineRule="auto"/>
              <w:ind w:left="0"/>
            </w:pPr>
            <w:r w:rsidRPr="00427C5C">
              <w:t xml:space="preserve">Identify potential leachables to enable hazard </w:t>
            </w:r>
            <w:r w:rsidRPr="00427C5C" w:rsidDel="0017486F">
              <w:t xml:space="preserve">assessment </w:t>
            </w:r>
            <w:r w:rsidRPr="00427C5C">
              <w:t>and</w:t>
            </w:r>
            <w:r w:rsidR="0017486F">
              <w:t xml:space="preserve"> </w:t>
            </w:r>
            <w:r w:rsidR="00165125">
              <w:t xml:space="preserve">safety </w:t>
            </w:r>
            <w:r w:rsidRPr="00427C5C">
              <w:t>risk assessment as applicable.</w:t>
            </w:r>
          </w:p>
        </w:tc>
      </w:tr>
      <w:tr w:rsidR="00427C5C" w:rsidRPr="00F91689" w14:paraId="483692F5" w14:textId="77777777" w:rsidTr="009F24AD">
        <w:tc>
          <w:tcPr>
            <w:tcW w:w="1470" w:type="dxa"/>
            <w:shd w:val="clear" w:color="auto" w:fill="auto"/>
            <w:vAlign w:val="center"/>
          </w:tcPr>
          <w:p w14:paraId="7A0136C4" w14:textId="77777777" w:rsidR="00427C5C" w:rsidRPr="00427C5C" w:rsidRDefault="00427C5C" w:rsidP="00383F97">
            <w:pPr>
              <w:spacing w:after="80" w:line="259" w:lineRule="auto"/>
              <w:rPr>
                <w:rFonts w:ascii="Times New Roman" w:hAnsi="Times New Roman" w:cs="Times New Roman"/>
                <w:b/>
                <w:sz w:val="24"/>
                <w:szCs w:val="24"/>
              </w:rPr>
            </w:pPr>
            <w:r w:rsidRPr="00427C5C">
              <w:rPr>
                <w:rFonts w:ascii="Times New Roman" w:hAnsi="Times New Roman" w:cs="Times New Roman"/>
                <w:b/>
                <w:bCs/>
                <w:sz w:val="24"/>
                <w:szCs w:val="24"/>
              </w:rPr>
              <w:t>Leachable</w:t>
            </w:r>
          </w:p>
        </w:tc>
        <w:tc>
          <w:tcPr>
            <w:tcW w:w="0" w:type="auto"/>
            <w:shd w:val="clear" w:color="auto" w:fill="auto"/>
            <w:vAlign w:val="center"/>
          </w:tcPr>
          <w:p w14:paraId="1B9F019B" w14:textId="77777777" w:rsidR="00427C5C" w:rsidRPr="00975060" w:rsidRDefault="00427C5C" w:rsidP="00975060">
            <w:pPr>
              <w:pStyle w:val="ListParagraph"/>
              <w:pBdr>
                <w:top w:val="nil"/>
                <w:left w:val="nil"/>
                <w:bottom w:val="nil"/>
                <w:right w:val="nil"/>
                <w:between w:val="nil"/>
                <w:bar w:val="nil"/>
              </w:pBdr>
              <w:spacing w:line="259" w:lineRule="auto"/>
              <w:ind w:left="0"/>
              <w:rPr>
                <w:b/>
                <w:bCs/>
              </w:rPr>
            </w:pPr>
            <w:r w:rsidRPr="00975060">
              <w:rPr>
                <w:b/>
                <w:bCs/>
              </w:rPr>
              <w:t>Experimental Conditions:</w:t>
            </w:r>
          </w:p>
          <w:p w14:paraId="3E0D4949" w14:textId="77777777" w:rsidR="00427C5C" w:rsidRPr="00427C5C" w:rsidRDefault="00427C5C" w:rsidP="00975060">
            <w:pPr>
              <w:pStyle w:val="ListParagraph"/>
              <w:pBdr>
                <w:top w:val="nil"/>
                <w:left w:val="nil"/>
                <w:bottom w:val="nil"/>
                <w:right w:val="nil"/>
                <w:between w:val="nil"/>
                <w:bar w:val="nil"/>
              </w:pBdr>
              <w:spacing w:line="259" w:lineRule="auto"/>
              <w:ind w:left="0"/>
            </w:pPr>
            <w:r w:rsidRPr="00427C5C">
              <w:t>Testing of the to-be-marketed drug product over shelf-life and in-use stability. Data may be supplemented with data from drug product using accelerated stability storage conditions if relevant.</w:t>
            </w:r>
          </w:p>
          <w:p w14:paraId="1EC15548" w14:textId="77777777" w:rsidR="00427C5C" w:rsidRPr="00975060" w:rsidRDefault="00427C5C" w:rsidP="00975060">
            <w:pPr>
              <w:pStyle w:val="ListParagraph"/>
              <w:pBdr>
                <w:top w:val="nil"/>
                <w:left w:val="nil"/>
                <w:bottom w:val="nil"/>
                <w:right w:val="nil"/>
                <w:between w:val="nil"/>
                <w:bar w:val="nil"/>
              </w:pBdr>
              <w:spacing w:line="259" w:lineRule="auto"/>
              <w:ind w:left="0"/>
              <w:rPr>
                <w:b/>
                <w:bCs/>
              </w:rPr>
            </w:pPr>
            <w:r w:rsidRPr="00975060">
              <w:rPr>
                <w:b/>
                <w:bCs/>
              </w:rPr>
              <w:t>Purpose:</w:t>
            </w:r>
          </w:p>
          <w:p w14:paraId="79F163E0" w14:textId="77777777" w:rsidR="00427C5C" w:rsidRPr="00427C5C" w:rsidRDefault="00427C5C" w:rsidP="00975060">
            <w:pPr>
              <w:pStyle w:val="ListParagraph"/>
              <w:pBdr>
                <w:top w:val="nil"/>
                <w:left w:val="nil"/>
                <w:bottom w:val="nil"/>
                <w:right w:val="nil"/>
                <w:between w:val="nil"/>
                <w:bar w:val="nil"/>
              </w:pBdr>
              <w:spacing w:line="259" w:lineRule="auto"/>
              <w:ind w:left="0"/>
            </w:pPr>
            <w:r w:rsidRPr="00427C5C">
              <w:t>Quantify and monitor target leachables over shelf-life and in-use.</w:t>
            </w:r>
          </w:p>
          <w:p w14:paraId="3C917579" w14:textId="77777777" w:rsidR="00427C5C" w:rsidRPr="00427C5C" w:rsidRDefault="00427C5C" w:rsidP="00975060">
            <w:pPr>
              <w:pStyle w:val="ListParagraph"/>
              <w:pBdr>
                <w:top w:val="nil"/>
                <w:left w:val="nil"/>
                <w:bottom w:val="nil"/>
                <w:right w:val="nil"/>
                <w:between w:val="nil"/>
                <w:bar w:val="nil"/>
              </w:pBdr>
              <w:spacing w:line="259" w:lineRule="auto"/>
              <w:ind w:left="0"/>
            </w:pPr>
            <w:r w:rsidRPr="00427C5C">
              <w:t>Identify and characterize unanticipated (non-target) leachables &gt; AET.</w:t>
            </w:r>
          </w:p>
          <w:p w14:paraId="3354686B" w14:textId="77777777" w:rsidR="00427C5C" w:rsidRPr="00427C5C" w:rsidRDefault="00427C5C" w:rsidP="00975060">
            <w:pPr>
              <w:pStyle w:val="ListParagraph"/>
              <w:pBdr>
                <w:top w:val="nil"/>
                <w:left w:val="nil"/>
                <w:bottom w:val="nil"/>
                <w:right w:val="nil"/>
                <w:between w:val="nil"/>
                <w:bar w:val="nil"/>
              </w:pBdr>
              <w:spacing w:line="259" w:lineRule="auto"/>
              <w:ind w:left="0"/>
            </w:pPr>
            <w:r w:rsidRPr="00427C5C">
              <w:t xml:space="preserve">Enable </w:t>
            </w:r>
            <w:r w:rsidRPr="00427C5C" w:rsidDel="0017486F">
              <w:t>toxicological risk</w:t>
            </w:r>
            <w:r w:rsidRPr="00427C5C">
              <w:t xml:space="preserve"> assessment of observed leachables over shelf-life and in-use.</w:t>
            </w:r>
          </w:p>
        </w:tc>
      </w:tr>
      <w:tr w:rsidR="00427C5C" w:rsidRPr="00F91689" w14:paraId="30B3230D" w14:textId="77777777" w:rsidTr="00124414">
        <w:tc>
          <w:tcPr>
            <w:tcW w:w="1470" w:type="dxa"/>
            <w:shd w:val="clear" w:color="auto" w:fill="auto"/>
            <w:vAlign w:val="center"/>
          </w:tcPr>
          <w:p w14:paraId="70B0A2C8" w14:textId="77777777" w:rsidR="00427C5C" w:rsidRPr="00427C5C" w:rsidRDefault="00427C5C" w:rsidP="00383F97">
            <w:pPr>
              <w:spacing w:line="259" w:lineRule="auto"/>
              <w:rPr>
                <w:rFonts w:ascii="Times New Roman" w:hAnsi="Times New Roman" w:cs="Times New Roman"/>
                <w:b/>
                <w:bCs/>
                <w:sz w:val="24"/>
                <w:szCs w:val="24"/>
              </w:rPr>
            </w:pPr>
            <w:r w:rsidRPr="00427C5C">
              <w:rPr>
                <w:rFonts w:ascii="Times New Roman" w:hAnsi="Times New Roman" w:cs="Times New Roman"/>
                <w:b/>
                <w:bCs/>
                <w:sz w:val="24"/>
                <w:szCs w:val="24"/>
              </w:rPr>
              <w:t>Simulated Leachable</w:t>
            </w:r>
          </w:p>
        </w:tc>
        <w:tc>
          <w:tcPr>
            <w:tcW w:w="8021" w:type="dxa"/>
            <w:shd w:val="clear" w:color="auto" w:fill="auto"/>
            <w:vAlign w:val="center"/>
          </w:tcPr>
          <w:p w14:paraId="4361D46F" w14:textId="77777777" w:rsidR="00427C5C" w:rsidRPr="00427C5C" w:rsidRDefault="00427C5C" w:rsidP="00124414">
            <w:pPr>
              <w:spacing w:after="80" w:line="259" w:lineRule="auto"/>
              <w:jc w:val="left"/>
              <w:rPr>
                <w:rFonts w:ascii="Times New Roman" w:hAnsi="Times New Roman" w:cs="Times New Roman"/>
                <w:b/>
                <w:bCs/>
                <w:sz w:val="24"/>
                <w:szCs w:val="24"/>
                <w:u w:val="single"/>
              </w:rPr>
            </w:pPr>
            <w:r w:rsidRPr="00427C5C">
              <w:rPr>
                <w:rFonts w:ascii="Times New Roman" w:hAnsi="Times New Roman" w:cs="Times New Roman"/>
                <w:b/>
                <w:bCs/>
                <w:sz w:val="24"/>
                <w:szCs w:val="24"/>
                <w:u w:val="single"/>
              </w:rPr>
              <w:t>Experimental Conditions:</w:t>
            </w:r>
          </w:p>
          <w:p w14:paraId="1B1F70E1" w14:textId="77777777" w:rsidR="00427C5C" w:rsidRPr="00427C5C" w:rsidRDefault="00427C5C" w:rsidP="00975060">
            <w:pPr>
              <w:pStyle w:val="ListParagraph"/>
              <w:spacing w:line="259" w:lineRule="auto"/>
              <w:ind w:left="0"/>
            </w:pPr>
            <w:r w:rsidRPr="00427C5C">
              <w:lastRenderedPageBreak/>
              <w:t>Testing of the manufacturing components and/or to-be-marketed drug product container closure system with a simulated drug product under conditions that simulate manufacturing and/or long-term storage conditions (pH, temperature, duration). Data may be supplemented using accelerated stability conditions if relevant.</w:t>
            </w:r>
          </w:p>
          <w:p w14:paraId="203A3750" w14:textId="77777777" w:rsidR="00427C5C" w:rsidRPr="00427C5C" w:rsidRDefault="00427C5C" w:rsidP="00124414">
            <w:pPr>
              <w:spacing w:line="259" w:lineRule="auto"/>
              <w:jc w:val="left"/>
              <w:rPr>
                <w:rFonts w:ascii="Times New Roman" w:hAnsi="Times New Roman" w:cs="Times New Roman"/>
                <w:sz w:val="24"/>
                <w:szCs w:val="24"/>
              </w:rPr>
            </w:pPr>
            <w:r w:rsidRPr="00427C5C">
              <w:rPr>
                <w:rFonts w:ascii="Times New Roman" w:hAnsi="Times New Roman" w:cs="Times New Roman"/>
                <w:b/>
                <w:bCs/>
                <w:sz w:val="24"/>
                <w:szCs w:val="24"/>
                <w:u w:val="single"/>
              </w:rPr>
              <w:t>Purpose:</w:t>
            </w:r>
          </w:p>
          <w:p w14:paraId="7468CE27" w14:textId="77777777" w:rsidR="00427C5C" w:rsidRPr="00427C5C" w:rsidRDefault="00427C5C" w:rsidP="00975060">
            <w:pPr>
              <w:pStyle w:val="ListParagraph"/>
              <w:spacing w:line="259" w:lineRule="auto"/>
              <w:ind w:left="0"/>
            </w:pPr>
            <w:r w:rsidRPr="00427C5C">
              <w:t>Quantify and monitor target leachables over long-term storage and in-use.</w:t>
            </w:r>
          </w:p>
          <w:p w14:paraId="73B9A30E" w14:textId="77777777" w:rsidR="00427C5C" w:rsidRPr="00427C5C" w:rsidRDefault="00427C5C" w:rsidP="00975060">
            <w:pPr>
              <w:pStyle w:val="ListParagraph"/>
              <w:spacing w:line="259" w:lineRule="auto"/>
              <w:ind w:left="0"/>
            </w:pPr>
            <w:r w:rsidRPr="00427C5C">
              <w:t>Identify and characterize unanticipated (non-target) leachables &gt; AET.</w:t>
            </w:r>
          </w:p>
          <w:p w14:paraId="33B137B6" w14:textId="77777777" w:rsidR="00427C5C" w:rsidRPr="00427C5C" w:rsidRDefault="00427C5C" w:rsidP="00975060">
            <w:pPr>
              <w:pStyle w:val="ListParagraph"/>
              <w:spacing w:line="259" w:lineRule="auto"/>
              <w:ind w:left="0"/>
            </w:pPr>
            <w:r w:rsidRPr="00427C5C">
              <w:t xml:space="preserve">In rare circumstances when justified and concurred by regional regulatory authority, may be used in lieu of a leachable study for </w:t>
            </w:r>
            <w:r w:rsidRPr="00427C5C" w:rsidDel="0017486F">
              <w:t>toxicological risk</w:t>
            </w:r>
            <w:r w:rsidRPr="00427C5C">
              <w:t xml:space="preserve"> assessment.</w:t>
            </w:r>
          </w:p>
        </w:tc>
      </w:tr>
    </w:tbl>
    <w:p w14:paraId="63546CB5" w14:textId="77777777" w:rsidR="00427C5C" w:rsidRDefault="00427C5C" w:rsidP="00427C5C">
      <w:pPr>
        <w:pStyle w:val="Default"/>
        <w:rPr>
          <w:rFonts w:ascii="Arial" w:hAnsi="Arial" w:cs="Arial"/>
          <w:color w:val="auto"/>
          <w:sz w:val="22"/>
          <w:szCs w:val="22"/>
        </w:rPr>
      </w:pPr>
    </w:p>
    <w:p w14:paraId="38DB446E" w14:textId="77777777" w:rsidR="00427C5C" w:rsidRDefault="00427C5C" w:rsidP="00427C5C">
      <w:pPr>
        <w:pStyle w:val="ICHTextOnly"/>
      </w:pPr>
      <w:r w:rsidRPr="195D8BC6">
        <w:t xml:space="preserve">Refer to </w:t>
      </w:r>
      <w:r>
        <w:t>S</w:t>
      </w:r>
      <w:r w:rsidRPr="195D8BC6">
        <w:t>ection 4.3 for detailed recommendations for extractable and leachable study, as appropriate.</w:t>
      </w:r>
    </w:p>
    <w:p w14:paraId="6588745D" w14:textId="5D2D2DC4" w:rsidR="00514883" w:rsidRDefault="00514883" w:rsidP="00427C5C">
      <w:pPr>
        <w:pStyle w:val="ICHTextOnly"/>
      </w:pPr>
    </w:p>
    <w:p w14:paraId="572075E2" w14:textId="1CFE27A6" w:rsidR="00514883" w:rsidRPr="007737C1" w:rsidRDefault="00514883" w:rsidP="007737C1">
      <w:pPr>
        <w:pStyle w:val="Heading1"/>
        <w:numPr>
          <w:ilvl w:val="0"/>
          <w:numId w:val="0"/>
        </w:numPr>
      </w:pPr>
      <w:bookmarkStart w:id="43" w:name="_Toc201662532"/>
      <w:r w:rsidRPr="007737C1">
        <w:t>Appendix 3 AET Calculations</w:t>
      </w:r>
      <w:bookmarkEnd w:id="43"/>
    </w:p>
    <w:p w14:paraId="7C5AE28E" w14:textId="317937C2" w:rsidR="00054467" w:rsidRPr="00F91689" w:rsidRDefault="00054467" w:rsidP="00054467">
      <w:pPr>
        <w:pStyle w:val="ICHTextOnly"/>
      </w:pPr>
      <w:r w:rsidRPr="695951DC">
        <w:t>Each of the examples provided are based upon using the applicable SCT (µg/day) for the drug product.  In some instances, an alternative starting point may be pertinent (such as for a potential Class 1 leachable). In all calculations, worst</w:t>
      </w:r>
      <w:r w:rsidR="000379A2">
        <w:t>-</w:t>
      </w:r>
      <w:r w:rsidRPr="695951DC">
        <w:t>case assumptions such as maximum approved dosing of the drug product should be assumed. Common examples for both extractables and leachables studies are provided.  Calculation of the AET should clearly indicate what the units are and how the calculation was performed.  Regardless of the units used to express the AET, the final value for a given study should always equate to the same patient exposure level (i.e., the SCT multiplied by the analytical uncertainty factor [UF]).</w:t>
      </w:r>
    </w:p>
    <w:p w14:paraId="125A0B93" w14:textId="77777777" w:rsidR="007737C1" w:rsidRDefault="007737C1" w:rsidP="000F593D">
      <w:pPr>
        <w:pStyle w:val="ICHTextOnly"/>
        <w:rPr>
          <w:b/>
          <w:bCs/>
        </w:rPr>
      </w:pPr>
    </w:p>
    <w:p w14:paraId="45B2672F" w14:textId="6369E18D" w:rsidR="00054467" w:rsidRPr="000F593D" w:rsidRDefault="00054467" w:rsidP="000F593D">
      <w:pPr>
        <w:pStyle w:val="ICHTextOnly"/>
        <w:rPr>
          <w:b/>
          <w:bCs/>
        </w:rPr>
      </w:pPr>
      <w:r w:rsidRPr="000F593D">
        <w:rPr>
          <w:b/>
          <w:bCs/>
        </w:rPr>
        <w:t>Maximum Daily Dose (MDD) and Safety Concern Threshold (SCT)</w:t>
      </w:r>
    </w:p>
    <w:p w14:paraId="682D4AD1" w14:textId="77777777" w:rsidR="00054467" w:rsidRPr="00622D3E" w:rsidRDefault="00054467" w:rsidP="00054467">
      <w:pPr>
        <w:pStyle w:val="ICHTextOnly"/>
      </w:pPr>
      <w:r w:rsidRPr="695951DC">
        <w:t>For each product the calculation of the AET should be based on the MDD. The MDD is the maximum approved dose of a drug administered in a single day.</w:t>
      </w:r>
    </w:p>
    <w:p w14:paraId="2C9C1E7A" w14:textId="4DE7088D" w:rsidR="00054467" w:rsidRPr="00622D3E" w:rsidRDefault="00054467" w:rsidP="00054467">
      <w:pPr>
        <w:pStyle w:val="ICHTextOnly"/>
      </w:pPr>
      <w:r w:rsidRPr="695951DC">
        <w:t xml:space="preserve">To determine the SCT, both the TTC and QT should be considered, as indicated in Table </w:t>
      </w:r>
      <w:r w:rsidR="008C147D">
        <w:t>1</w:t>
      </w:r>
      <w:r w:rsidRPr="695951DC">
        <w:t>. The lowest of these values determines the SCT.</w:t>
      </w:r>
    </w:p>
    <w:p w14:paraId="339DCB76" w14:textId="77777777" w:rsidR="007737C1" w:rsidRDefault="007737C1" w:rsidP="000F593D">
      <w:pPr>
        <w:pStyle w:val="ICHTextOnly"/>
        <w:rPr>
          <w:b/>
          <w:bCs/>
        </w:rPr>
      </w:pPr>
    </w:p>
    <w:p w14:paraId="7C49ED08" w14:textId="5F434AEA" w:rsidR="00054467" w:rsidRPr="000F593D" w:rsidRDefault="00054467" w:rsidP="000F593D">
      <w:pPr>
        <w:pStyle w:val="ICHTextOnly"/>
        <w:rPr>
          <w:b/>
          <w:bCs/>
        </w:rPr>
      </w:pPr>
      <w:r w:rsidRPr="000F593D">
        <w:rPr>
          <w:b/>
          <w:bCs/>
        </w:rPr>
        <w:t>Intermittent Dosing</w:t>
      </w:r>
    </w:p>
    <w:p w14:paraId="3B174D62" w14:textId="77777777" w:rsidR="00054467" w:rsidRPr="00622D3E" w:rsidRDefault="00054467" w:rsidP="00054467">
      <w:pPr>
        <w:pStyle w:val="ICHTextOnly"/>
      </w:pPr>
      <w:r w:rsidRPr="00622D3E">
        <w:t xml:space="preserve">If a drug is not administered every day, for derivation of the applicable TTC ICH M7 is followed (e.g., when total number of dosing days is ≤30, the TTC = 120 µg). </w:t>
      </w:r>
    </w:p>
    <w:p w14:paraId="08007DA6" w14:textId="479A7293" w:rsidR="00054467" w:rsidRPr="00622D3E" w:rsidRDefault="00054467" w:rsidP="00054467">
      <w:pPr>
        <w:pStyle w:val="ICHTextOnly"/>
      </w:pPr>
      <w:r w:rsidRPr="00622D3E">
        <w:t xml:space="preserve">For derivation of the QT, when total number of dosing days is ≤30 days or the dosing frequency is once per month or less, the </w:t>
      </w:r>
      <w:r w:rsidRPr="008B0598">
        <w:t>≤ 1</w:t>
      </w:r>
      <w:r w:rsidR="00D61ABC">
        <w:t xml:space="preserve"> </w:t>
      </w:r>
      <w:r w:rsidRPr="008B0598">
        <w:t xml:space="preserve">month </w:t>
      </w:r>
      <w:r w:rsidRPr="00622D3E">
        <w:t>QT can be used.</w:t>
      </w:r>
    </w:p>
    <w:p w14:paraId="08A5A696" w14:textId="77777777" w:rsidR="007737C1" w:rsidRDefault="007737C1" w:rsidP="000F593D">
      <w:pPr>
        <w:pStyle w:val="ICHTextOnly"/>
        <w:rPr>
          <w:b/>
          <w:bCs/>
        </w:rPr>
      </w:pPr>
    </w:p>
    <w:p w14:paraId="15E10301" w14:textId="345DAC3E" w:rsidR="00054467" w:rsidRPr="000F593D" w:rsidRDefault="00054467" w:rsidP="000F593D">
      <w:pPr>
        <w:pStyle w:val="ICHTextOnly"/>
        <w:rPr>
          <w:b/>
          <w:bCs/>
        </w:rPr>
      </w:pPr>
      <w:r w:rsidRPr="000F593D">
        <w:rPr>
          <w:b/>
          <w:bCs/>
        </w:rPr>
        <w:t>Multi-day Products</w:t>
      </w:r>
    </w:p>
    <w:p w14:paraId="602702D4" w14:textId="076802D7" w:rsidR="00054467" w:rsidRPr="00622D3E" w:rsidRDefault="00054467" w:rsidP="00054467">
      <w:pPr>
        <w:pStyle w:val="ICHTextOnly"/>
        <w:rPr>
          <w:b/>
          <w:bCs/>
          <w:i/>
          <w:iCs/>
        </w:rPr>
      </w:pPr>
      <w:r w:rsidRPr="695951DC">
        <w:t xml:space="preserve">For products that are applied and may remain in place for multiple days (e.g. multi-day patches, depot injections, implants), the applicable TTC is defined by the total duration of treatment. </w:t>
      </w:r>
      <w:r w:rsidR="00521330" w:rsidRPr="00521330">
        <w:t xml:space="preserve">For mutagenic impurities, per ICH M7 an average daily exposure should be used. For non-mutagenic leachable, the default assumption is that all leachables migrate within a day. </w:t>
      </w:r>
      <w:r>
        <w:t>In this case, the applicable QT is defined by the total number of applications. A slower migration rate would decrease the daily dose to a non-mutagenic leachable but increase the number of dosing days. A slower migration rate should be justified with data.</w:t>
      </w:r>
    </w:p>
    <w:p w14:paraId="17FE0F58" w14:textId="77777777" w:rsidR="007737C1" w:rsidRDefault="007737C1" w:rsidP="00171F69">
      <w:pPr>
        <w:pStyle w:val="ICHTextOnly"/>
        <w:rPr>
          <w:b/>
          <w:bCs/>
        </w:rPr>
      </w:pPr>
    </w:p>
    <w:p w14:paraId="53A46C56" w14:textId="762DE603" w:rsidR="00054467" w:rsidRPr="00171F69" w:rsidRDefault="00054467" w:rsidP="00171F69">
      <w:pPr>
        <w:pStyle w:val="ICHTextOnly"/>
        <w:rPr>
          <w:b/>
          <w:bCs/>
        </w:rPr>
      </w:pPr>
      <w:r w:rsidRPr="00171F69">
        <w:rPr>
          <w:b/>
          <w:bCs/>
        </w:rPr>
        <w:t>Example AET Calculations</w:t>
      </w:r>
    </w:p>
    <w:p w14:paraId="65DCF99B" w14:textId="77777777" w:rsidR="00054467" w:rsidRPr="00171F69" w:rsidRDefault="00054467" w:rsidP="00171F69">
      <w:pPr>
        <w:pStyle w:val="ICHTextOnly"/>
        <w:rPr>
          <w:b/>
          <w:bCs/>
        </w:rPr>
      </w:pPr>
      <w:r w:rsidRPr="00171F69">
        <w:rPr>
          <w:b/>
          <w:bCs/>
        </w:rPr>
        <w:t>Extractable Scenario 1: Filter used as part of a manufacturing process for a liquid drug product</w:t>
      </w:r>
    </w:p>
    <w:p w14:paraId="2E1B6BFD" w14:textId="77777777" w:rsidR="009D7BF7" w:rsidRDefault="0080423E" w:rsidP="00A27518">
      <w:pPr>
        <w:pStyle w:val="ICHTextOnly"/>
        <w:numPr>
          <w:ilvl w:val="0"/>
          <w:numId w:val="11"/>
        </w:numPr>
      </w:pPr>
      <w:r w:rsidRPr="00622D3E">
        <w:t xml:space="preserve">AET (µg/filter) = SCT (µg/day) </w:t>
      </w:r>
      <w:r w:rsidRPr="00622D3E">
        <w:rPr>
          <w:b/>
        </w:rPr>
        <w:t>×</w:t>
      </w:r>
      <w:r w:rsidRPr="00622D3E">
        <w:t xml:space="preserve"> </w:t>
      </w:r>
      <w:r w:rsidRPr="00622D3E">
        <w:rPr>
          <w:i/>
        </w:rPr>
        <w:t>UF</w:t>
      </w:r>
      <w:r w:rsidRPr="00622D3E">
        <w:t xml:space="preserve"> </w:t>
      </w:r>
      <w:r w:rsidRPr="00622D3E">
        <w:rPr>
          <w:b/>
        </w:rPr>
        <w:t>×</w:t>
      </w:r>
      <w:r w:rsidRPr="00622D3E">
        <w:t xml:space="preserve"> Doses per drug product batch* </w:t>
      </w:r>
      <w:r w:rsidRPr="00622D3E">
        <w:rPr>
          <w:b/>
        </w:rPr>
        <w:t>÷</w:t>
      </w:r>
      <w:r w:rsidRPr="00622D3E">
        <w:t xml:space="preserve"> Filters/batch</w:t>
      </w:r>
    </w:p>
    <w:p w14:paraId="4A7725F3" w14:textId="77777777" w:rsidR="009D7BF7" w:rsidRPr="007146A2" w:rsidRDefault="0080423E" w:rsidP="00A27518">
      <w:pPr>
        <w:pStyle w:val="ICHTextOnly"/>
        <w:numPr>
          <w:ilvl w:val="0"/>
          <w:numId w:val="11"/>
        </w:numPr>
        <w:rPr>
          <w:lang w:val="da-DK"/>
        </w:rPr>
      </w:pPr>
      <w:r w:rsidRPr="009D7BF7">
        <w:rPr>
          <w:lang w:val="nl-NL"/>
        </w:rPr>
        <w:t>AET (µg/g filter) = AET (µg/filter) ÷ Weight (g)/filter</w:t>
      </w:r>
    </w:p>
    <w:p w14:paraId="7DE3C594" w14:textId="77777777" w:rsidR="009D7BF7" w:rsidRDefault="0080423E" w:rsidP="00A27518">
      <w:pPr>
        <w:pStyle w:val="ICHTextOnly"/>
        <w:numPr>
          <w:ilvl w:val="0"/>
          <w:numId w:val="11"/>
        </w:numPr>
      </w:pPr>
      <w:r w:rsidRPr="00622D3E">
        <w:t>AET (µg/mL extraction solvent) = AET (µg/filter) ÷ Extraction solvent (mL)/filter</w:t>
      </w:r>
    </w:p>
    <w:p w14:paraId="1EAFCB21" w14:textId="286676AE" w:rsidR="0080423E" w:rsidRPr="00622D3E" w:rsidRDefault="0080423E" w:rsidP="00A27518">
      <w:pPr>
        <w:pStyle w:val="ICHTextOnly"/>
        <w:numPr>
          <w:ilvl w:val="0"/>
          <w:numId w:val="11"/>
        </w:numPr>
      </w:pPr>
      <w:r w:rsidRPr="00622D3E">
        <w:t>AET (µg/cm</w:t>
      </w:r>
      <w:r w:rsidRPr="009D7BF7">
        <w:rPr>
          <w:vertAlign w:val="superscript"/>
        </w:rPr>
        <w:t>2</w:t>
      </w:r>
      <w:r w:rsidRPr="00622D3E">
        <w:t>) = AET (µg/filter) ÷ Contact surface area (cm</w:t>
      </w:r>
      <w:r w:rsidRPr="009D7BF7">
        <w:rPr>
          <w:vertAlign w:val="superscript"/>
        </w:rPr>
        <w:t>2</w:t>
      </w:r>
      <w:r w:rsidRPr="00622D3E">
        <w:t>)/filter</w:t>
      </w:r>
    </w:p>
    <w:p w14:paraId="59107B64" w14:textId="77777777" w:rsidR="0080423E" w:rsidRPr="00622D3E" w:rsidRDefault="0080423E" w:rsidP="0080423E">
      <w:pPr>
        <w:pStyle w:val="ICHTextOnly"/>
      </w:pPr>
      <w:r w:rsidRPr="695951DC">
        <w:t>*The MDD administered in a single day and the minimum potential batch size should be used to determine the number of doses per drug product batch (i.e., the worst-case scenario). Thus, if the maximum approved dose given in a single day is 100 mg (= 0.1 g) and the minimum potential batch size in 1 kg (= 1000 g), the doses per drug product batch is 1000 g/batch ÷ 0.1 g/dose = 10,000 doses per drug product batch.</w:t>
      </w:r>
    </w:p>
    <w:p w14:paraId="730AD21E" w14:textId="77777777" w:rsidR="007737C1" w:rsidRDefault="007737C1" w:rsidP="009C57FD">
      <w:pPr>
        <w:pStyle w:val="ICHTextOnly"/>
        <w:rPr>
          <w:b/>
          <w:bCs/>
        </w:rPr>
      </w:pPr>
    </w:p>
    <w:p w14:paraId="571C03E5" w14:textId="77D64B11" w:rsidR="009C57FD" w:rsidRPr="009C57FD" w:rsidRDefault="009C57FD" w:rsidP="009C57FD">
      <w:pPr>
        <w:pStyle w:val="ICHTextOnly"/>
        <w:rPr>
          <w:b/>
          <w:bCs/>
        </w:rPr>
      </w:pPr>
      <w:r w:rsidRPr="009C57FD">
        <w:rPr>
          <w:b/>
          <w:bCs/>
        </w:rPr>
        <w:t>Extractable Scenario 2: Rubber vial stopper as part of CCS for a liquid drug product</w:t>
      </w:r>
    </w:p>
    <w:p w14:paraId="7AC2C6B7" w14:textId="77777777" w:rsidR="00E352CB" w:rsidRDefault="00E352CB" w:rsidP="00A27518">
      <w:pPr>
        <w:pStyle w:val="ICHTextOnly"/>
        <w:numPr>
          <w:ilvl w:val="0"/>
          <w:numId w:val="12"/>
        </w:numPr>
        <w:rPr>
          <w:bdr w:val="none" w:sz="0" w:space="0" w:color="auto"/>
          <w:lang w:val="en-US" w:eastAsia="en-US"/>
        </w:rPr>
      </w:pPr>
      <w:r w:rsidRPr="00E352CB">
        <w:rPr>
          <w:bdr w:val="none" w:sz="0" w:space="0" w:color="auto"/>
          <w:lang w:val="en-US" w:eastAsia="en-US"/>
        </w:rPr>
        <w:t xml:space="preserve">AET (µg/stopper) = SCT (µg/day) </w:t>
      </w:r>
      <w:r w:rsidRPr="00E352CB">
        <w:rPr>
          <w:b/>
          <w:bCs/>
          <w:bdr w:val="none" w:sz="0" w:space="0" w:color="auto"/>
          <w:lang w:val="en-US" w:eastAsia="en-US"/>
        </w:rPr>
        <w:t>×</w:t>
      </w:r>
      <w:r w:rsidRPr="00E352CB">
        <w:rPr>
          <w:bdr w:val="none" w:sz="0" w:space="0" w:color="auto"/>
          <w:lang w:val="en-US" w:eastAsia="en-US"/>
        </w:rPr>
        <w:t xml:space="preserve"> </w:t>
      </w:r>
      <w:r w:rsidRPr="00E352CB">
        <w:rPr>
          <w:i/>
          <w:iCs/>
          <w:bdr w:val="none" w:sz="0" w:space="0" w:color="auto"/>
          <w:lang w:val="en-US" w:eastAsia="en-US"/>
        </w:rPr>
        <w:t>UF</w:t>
      </w:r>
      <w:r w:rsidRPr="00E352CB">
        <w:rPr>
          <w:bdr w:val="none" w:sz="0" w:space="0" w:color="auto"/>
          <w:lang w:val="en-US" w:eastAsia="en-US"/>
        </w:rPr>
        <w:t xml:space="preserve"> </w:t>
      </w:r>
      <w:r w:rsidRPr="00E352CB">
        <w:rPr>
          <w:b/>
          <w:bCs/>
          <w:bdr w:val="none" w:sz="0" w:space="0" w:color="auto"/>
          <w:lang w:val="en-US" w:eastAsia="en-US"/>
        </w:rPr>
        <w:t>×</w:t>
      </w:r>
      <w:r w:rsidRPr="00E352CB">
        <w:rPr>
          <w:bdr w:val="none" w:sz="0" w:space="0" w:color="auto"/>
          <w:lang w:val="en-US" w:eastAsia="en-US"/>
        </w:rPr>
        <w:t xml:space="preserve"> Volume/vial (mL/stopper) ÷ Maximum dose in a day (mL)*</w:t>
      </w:r>
    </w:p>
    <w:p w14:paraId="713B6FB9" w14:textId="77777777" w:rsidR="00E352CB" w:rsidRPr="007146A2" w:rsidRDefault="00E352CB" w:rsidP="00A27518">
      <w:pPr>
        <w:pStyle w:val="ICHTextOnly"/>
        <w:numPr>
          <w:ilvl w:val="0"/>
          <w:numId w:val="12"/>
        </w:numPr>
        <w:rPr>
          <w:bdr w:val="none" w:sz="0" w:space="0" w:color="auto"/>
          <w:lang w:val="da-DK" w:eastAsia="en-US"/>
        </w:rPr>
      </w:pPr>
      <w:r w:rsidRPr="00E352CB">
        <w:rPr>
          <w:bdr w:val="none" w:sz="0" w:space="0" w:color="auto"/>
          <w:lang w:val="da-DK" w:eastAsia="en-US"/>
        </w:rPr>
        <w:t>AET (µg/g stopper) = AET (µg/stopper) ÷ Stopper weight (g)</w:t>
      </w:r>
    </w:p>
    <w:p w14:paraId="67A7C5A2" w14:textId="77777777" w:rsidR="00E352CB" w:rsidRDefault="00E352CB" w:rsidP="00A27518">
      <w:pPr>
        <w:pStyle w:val="ICHTextOnly"/>
        <w:numPr>
          <w:ilvl w:val="0"/>
          <w:numId w:val="12"/>
        </w:numPr>
        <w:rPr>
          <w:bdr w:val="none" w:sz="0" w:space="0" w:color="auto"/>
          <w:lang w:val="en-US" w:eastAsia="en-US"/>
        </w:rPr>
      </w:pPr>
      <w:r w:rsidRPr="00E352CB">
        <w:rPr>
          <w:bdr w:val="none" w:sz="0" w:space="0" w:color="auto"/>
          <w:lang w:val="en-US" w:eastAsia="en-US"/>
        </w:rPr>
        <w:t>AET (µg/mL extraction solvent) = AET (µg/stopper) ÷ Extraction solvent (mL)/Stopper</w:t>
      </w:r>
    </w:p>
    <w:p w14:paraId="29B9EC29" w14:textId="5841996D" w:rsidR="00E352CB" w:rsidRPr="00E352CB" w:rsidRDefault="00E352CB" w:rsidP="00A27518">
      <w:pPr>
        <w:pStyle w:val="ICHTextOnly"/>
        <w:numPr>
          <w:ilvl w:val="0"/>
          <w:numId w:val="12"/>
        </w:numPr>
        <w:rPr>
          <w:bdr w:val="none" w:sz="0" w:space="0" w:color="auto"/>
          <w:lang w:val="en-US" w:eastAsia="en-US"/>
        </w:rPr>
      </w:pPr>
      <w:r w:rsidRPr="00E352CB">
        <w:rPr>
          <w:bdr w:val="none" w:sz="0" w:space="0" w:color="auto"/>
          <w:lang w:val="en-US" w:eastAsia="en-US"/>
        </w:rPr>
        <w:t>AET (µg/mL extraction solvent) = AET (µg/g stopper) ÷ Extraction solvent (mL)/gram of Stopper</w:t>
      </w:r>
    </w:p>
    <w:p w14:paraId="5CA59F3C" w14:textId="77777777" w:rsidR="00E352CB" w:rsidRPr="00E352CB" w:rsidRDefault="00E352CB" w:rsidP="00E352CB">
      <w:pPr>
        <w:pStyle w:val="ICHTextOnly"/>
        <w:rPr>
          <w:sz w:val="22"/>
          <w:szCs w:val="22"/>
          <w:bdr w:val="none" w:sz="0" w:space="0" w:color="auto"/>
          <w:lang w:val="en-US" w:eastAsia="en-US"/>
        </w:rPr>
      </w:pPr>
      <w:r w:rsidRPr="00E352CB">
        <w:rPr>
          <w:sz w:val="22"/>
          <w:szCs w:val="22"/>
          <w:bdr w:val="none" w:sz="0" w:space="0" w:color="auto"/>
          <w:lang w:val="en-US" w:eastAsia="en-US"/>
        </w:rPr>
        <w:t xml:space="preserve">*The maximum approved volumetric dose administered in a single day should be used (i.e., the worst-case scenario). If dosing is described on a mass basis (e.g., mg/day), it should be converted to a volume (mL) based upon the concentration of the active ingredient. Thus, if the maximum approved dose given in a single day is 100 mg (= 0.1 g) and the concentration of the drug product is 10 mg/mL, the maximum </w:t>
      </w:r>
      <w:r w:rsidRPr="00E352CB">
        <w:rPr>
          <w:sz w:val="22"/>
          <w:szCs w:val="22"/>
          <w:bdr w:val="none" w:sz="0" w:space="0" w:color="auto"/>
          <w:lang w:val="en-US" w:eastAsia="en-US"/>
        </w:rPr>
        <w:lastRenderedPageBreak/>
        <w:t xml:space="preserve">dose in a day for the calculation is 100 mg ÷ 10 mg/mL = 10 </w:t>
      </w:r>
      <w:proofErr w:type="spellStart"/>
      <w:r w:rsidRPr="00E352CB">
        <w:rPr>
          <w:sz w:val="22"/>
          <w:szCs w:val="22"/>
          <w:bdr w:val="none" w:sz="0" w:space="0" w:color="auto"/>
          <w:lang w:val="en-US" w:eastAsia="en-US"/>
        </w:rPr>
        <w:t>mL.</w:t>
      </w:r>
      <w:proofErr w:type="spellEnd"/>
    </w:p>
    <w:p w14:paraId="67F77E8C" w14:textId="77777777" w:rsidR="007737C1" w:rsidRDefault="007737C1" w:rsidP="00EA5F74">
      <w:pPr>
        <w:pStyle w:val="ICHTextOnly"/>
        <w:rPr>
          <w:b/>
          <w:bCs/>
        </w:rPr>
      </w:pPr>
    </w:p>
    <w:p w14:paraId="3985125C" w14:textId="363D47C7" w:rsidR="00EA5F74" w:rsidRPr="00EA5F74" w:rsidRDefault="00EA5F74" w:rsidP="00EA5F74">
      <w:pPr>
        <w:pStyle w:val="ICHTextOnly"/>
        <w:rPr>
          <w:b/>
          <w:bCs/>
        </w:rPr>
      </w:pPr>
      <w:r w:rsidRPr="00EA5F74">
        <w:rPr>
          <w:b/>
          <w:bCs/>
        </w:rPr>
        <w:t>Leachable Scenario 1: Leachables for manufacturing equipment for liquid drug product</w:t>
      </w:r>
    </w:p>
    <w:p w14:paraId="4566D13E" w14:textId="77777777" w:rsidR="00EA5F74" w:rsidRDefault="00EA5F74" w:rsidP="00A27518">
      <w:pPr>
        <w:pStyle w:val="ICHTextOnly"/>
        <w:numPr>
          <w:ilvl w:val="0"/>
          <w:numId w:val="13"/>
        </w:numPr>
      </w:pPr>
      <w:r w:rsidRPr="00622D3E">
        <w:t xml:space="preserve">AET (µg/batch) = SCT (µg/day) </w:t>
      </w:r>
      <w:r w:rsidRPr="00622D3E">
        <w:rPr>
          <w:b/>
        </w:rPr>
        <w:t>×</w:t>
      </w:r>
      <w:r w:rsidRPr="00622D3E">
        <w:t xml:space="preserve"> </w:t>
      </w:r>
      <w:r w:rsidRPr="00622D3E">
        <w:rPr>
          <w:i/>
        </w:rPr>
        <w:t>UF</w:t>
      </w:r>
      <w:r w:rsidRPr="00622D3E">
        <w:t xml:space="preserve"> </w:t>
      </w:r>
      <w:r w:rsidRPr="00622D3E">
        <w:rPr>
          <w:b/>
        </w:rPr>
        <w:t>×</w:t>
      </w:r>
      <w:r w:rsidRPr="00622D3E">
        <w:t xml:space="preserve"> Doses per drug product batch* </w:t>
      </w:r>
    </w:p>
    <w:p w14:paraId="3CF7BDCE" w14:textId="476694CA" w:rsidR="00EA5F74" w:rsidRPr="00622D3E" w:rsidRDefault="00EA5F74" w:rsidP="00A27518">
      <w:pPr>
        <w:pStyle w:val="ICHTextOnly"/>
        <w:numPr>
          <w:ilvl w:val="0"/>
          <w:numId w:val="13"/>
        </w:numPr>
      </w:pPr>
      <w:r w:rsidRPr="695951DC">
        <w:t xml:space="preserve">AET (µg/mL drug product) = SCT (µg/day) </w:t>
      </w:r>
      <w:r w:rsidRPr="00EA5F74">
        <w:rPr>
          <w:b/>
          <w:bCs/>
        </w:rPr>
        <w:t>×</w:t>
      </w:r>
      <w:r w:rsidRPr="695951DC">
        <w:t xml:space="preserve"> </w:t>
      </w:r>
      <w:r w:rsidRPr="00EA5F74">
        <w:rPr>
          <w:i/>
          <w:iCs/>
        </w:rPr>
        <w:t>UF</w:t>
      </w:r>
      <w:r w:rsidRPr="695951DC">
        <w:t xml:space="preserve"> ÷ Maximum dose in a day (mL)</w:t>
      </w:r>
    </w:p>
    <w:p w14:paraId="07396CEB" w14:textId="77777777" w:rsidR="00EA5F74" w:rsidRPr="00622D3E" w:rsidRDefault="00EA5F74" w:rsidP="00EA5F74">
      <w:pPr>
        <w:pStyle w:val="ICHTextOnly"/>
      </w:pPr>
      <w:r w:rsidRPr="695951DC">
        <w:t>*The MDD administered in a single day and the minimum potential batch size should be used to determine the number of doses per drug product batch (i.e., the worst-case scenario). Thus, if the maximum approved dose given in a single day is 5 mL and the minimum potential batch size in 10 L (= 10,000 mL), the doses per drug product batch is 10,000 mL/batch ÷ 5 mL/dose = 2,000 doses per drug product batch.</w:t>
      </w:r>
    </w:p>
    <w:p w14:paraId="4114281F" w14:textId="77777777" w:rsidR="00EA5F74" w:rsidRPr="00622D3E" w:rsidRDefault="00EA5F74" w:rsidP="00EA5F74">
      <w:pPr>
        <w:spacing w:line="259" w:lineRule="auto"/>
      </w:pPr>
    </w:p>
    <w:p w14:paraId="3D54024E" w14:textId="77777777" w:rsidR="00EA5F74" w:rsidRPr="00EA5F74" w:rsidRDefault="00EA5F74" w:rsidP="00EA5F74">
      <w:pPr>
        <w:pStyle w:val="ICHTextOnly"/>
        <w:rPr>
          <w:b/>
          <w:bCs/>
        </w:rPr>
      </w:pPr>
      <w:r w:rsidRPr="00EA5F74">
        <w:rPr>
          <w:b/>
          <w:bCs/>
        </w:rPr>
        <w:t>Leachable Scenario 2: Leachables for a prefilled syringe (PFS)</w:t>
      </w:r>
    </w:p>
    <w:p w14:paraId="7C4691E5" w14:textId="77777777" w:rsidR="009C21F8" w:rsidRDefault="00EA5F74" w:rsidP="00A27518">
      <w:pPr>
        <w:pStyle w:val="ICHTextOnly"/>
        <w:numPr>
          <w:ilvl w:val="0"/>
          <w:numId w:val="14"/>
        </w:numPr>
      </w:pPr>
      <w:r w:rsidRPr="695951DC">
        <w:t xml:space="preserve">AET (µg/mL drug product) = SCT (µg/day) </w:t>
      </w:r>
      <w:r w:rsidRPr="695951DC">
        <w:rPr>
          <w:b/>
          <w:bCs/>
        </w:rPr>
        <w:t>×</w:t>
      </w:r>
      <w:r w:rsidRPr="695951DC">
        <w:t xml:space="preserve"> </w:t>
      </w:r>
      <w:r w:rsidRPr="695951DC">
        <w:rPr>
          <w:i/>
          <w:iCs/>
        </w:rPr>
        <w:t>UF</w:t>
      </w:r>
      <w:r w:rsidRPr="695951DC">
        <w:t xml:space="preserve"> ÷ Maximum dose in a day (mL)*</w:t>
      </w:r>
    </w:p>
    <w:p w14:paraId="42D7D949" w14:textId="416935ED" w:rsidR="00EA5F74" w:rsidRPr="00637EB6" w:rsidRDefault="00EA5F74" w:rsidP="00A27518">
      <w:pPr>
        <w:pStyle w:val="ICHTextOnly"/>
        <w:numPr>
          <w:ilvl w:val="0"/>
          <w:numId w:val="14"/>
        </w:numPr>
        <w:rPr>
          <w:lang w:val="nl-NL"/>
        </w:rPr>
      </w:pPr>
      <w:r w:rsidRPr="009C21F8">
        <w:rPr>
          <w:lang w:val="nl-NL"/>
        </w:rPr>
        <w:t xml:space="preserve">AET (µg/PFS) = AET (µg/mL drug product) </w:t>
      </w:r>
      <w:r w:rsidRPr="009C21F8">
        <w:rPr>
          <w:b/>
          <w:lang w:val="nl-NL"/>
        </w:rPr>
        <w:t>×</w:t>
      </w:r>
      <w:r w:rsidRPr="009C21F8">
        <w:rPr>
          <w:lang w:val="nl-NL"/>
        </w:rPr>
        <w:t xml:space="preserve"> Volume per PFS (mL)</w:t>
      </w:r>
    </w:p>
    <w:p w14:paraId="6DB7A221" w14:textId="77777777" w:rsidR="00EA5F74" w:rsidRPr="00622D3E" w:rsidRDefault="00EA5F74" w:rsidP="009C21F8">
      <w:pPr>
        <w:pStyle w:val="ICHTextOnly"/>
      </w:pPr>
      <w:r w:rsidRPr="695951DC">
        <w:t xml:space="preserve">*The maximum approved volumetric dose administered in a single day should be used (i.e., the worst-case scenario). If dosing is described on a mass basis (e.g., mg/day), it should be converted to a volume (mL) based upon the concentration of the active ingredient. Thus, if the maximum approved dose given in a single day is 10 mg and the concentration of the drug product is 10 mg/mL, the maximum dose in a day for the calculation is 10 mg ÷ 10 mg/mL = 1 </w:t>
      </w:r>
      <w:proofErr w:type="spellStart"/>
      <w:r w:rsidRPr="695951DC">
        <w:t>mL.</w:t>
      </w:r>
      <w:proofErr w:type="spellEnd"/>
    </w:p>
    <w:p w14:paraId="1FBBA6A5" w14:textId="77777777" w:rsidR="009140E2" w:rsidRDefault="009140E2" w:rsidP="00054467">
      <w:pPr>
        <w:pStyle w:val="ICHTextOnly"/>
        <w:rPr>
          <w:rFonts w:eastAsia="MS Mincho"/>
          <w:bdr w:val="none" w:sz="0" w:space="0" w:color="auto"/>
          <w:lang w:val="en-US" w:eastAsia="en-US"/>
        </w:rPr>
      </w:pPr>
    </w:p>
    <w:p w14:paraId="2958AA56" w14:textId="7EEA7B80" w:rsidR="009C21F8" w:rsidRPr="007737C1" w:rsidRDefault="009C21F8" w:rsidP="007737C1">
      <w:pPr>
        <w:pStyle w:val="Heading1"/>
        <w:numPr>
          <w:ilvl w:val="0"/>
          <w:numId w:val="0"/>
        </w:numPr>
      </w:pPr>
      <w:bookmarkStart w:id="44" w:name="_Toc201662533"/>
      <w:r w:rsidRPr="007737C1">
        <w:t>Appendix 4</w:t>
      </w:r>
      <w:r w:rsidR="007737C1">
        <w:t>:</w:t>
      </w:r>
      <w:r w:rsidRPr="007737C1">
        <w:t xml:space="preserve"> Potency Classes for Leachables</w:t>
      </w:r>
      <w:bookmarkEnd w:id="44"/>
    </w:p>
    <w:p w14:paraId="70725C82" w14:textId="3EA5095A" w:rsidR="00581A26" w:rsidRPr="00FB5303" w:rsidRDefault="00581A26" w:rsidP="00581A26">
      <w:pPr>
        <w:pStyle w:val="ICHTextOnly"/>
      </w:pPr>
      <w:r w:rsidRPr="6ECC6B75">
        <w:t xml:space="preserve">The chemical nature of potential leachable compounds is varied as are their safety databases. In order to remain patient protective while maintaining a practical approach to setting safety thresholds, a leachables classification scheme has been developed, in addition to the thresholds applied in the guideline. The classification scheme is based on systemic effects and is </w:t>
      </w:r>
      <w:r w:rsidR="007F282C">
        <w:t xml:space="preserve">broadly </w:t>
      </w:r>
      <w:r w:rsidRPr="6ECC6B75">
        <w:t>applicable to all routes of administration</w:t>
      </w:r>
      <w:r w:rsidR="0046033C">
        <w:t xml:space="preserve">. </w:t>
      </w:r>
      <w:r w:rsidR="00686763">
        <w:t>However</w:t>
      </w:r>
      <w:r w:rsidRPr="6ECC6B75">
        <w:t>, the concentration thresholds applicable to drug products with specific routes of administration as indicated in Section 6</w:t>
      </w:r>
      <w:r w:rsidR="004A4BB3">
        <w:t>.1</w:t>
      </w:r>
      <w:r w:rsidRPr="6ECC6B75">
        <w:t xml:space="preserve"> Table </w:t>
      </w:r>
      <w:r w:rsidR="004A4BB3">
        <w:t>1</w:t>
      </w:r>
      <w:r w:rsidRPr="6ECC6B75">
        <w:t xml:space="preserve"> are not impacted by this classification scheme. As such, the default concentration thresholds for potential local effects of a leachable are the same regardless of leachable class.</w:t>
      </w:r>
    </w:p>
    <w:p w14:paraId="6E53E900" w14:textId="5C64947D" w:rsidR="00581A26" w:rsidRPr="00FB5303" w:rsidRDefault="00581A26" w:rsidP="00581A26">
      <w:pPr>
        <w:pStyle w:val="ICHTextOnly"/>
      </w:pPr>
      <w:r w:rsidRPr="695951DC">
        <w:t xml:space="preserve">Class 1 leachables are generally those compounds for which the thresholds for mutagenic and systemic effects as described in this guideline have not been demonstrated to be sufficiently patient protective. Thus, for Class 1 leachables an acceptable exposure level should be </w:t>
      </w:r>
      <w:r w:rsidRPr="695951DC">
        <w:lastRenderedPageBreak/>
        <w:t>established on a compound-specific basis.  Class 1 includes: ICH M7 cohort of concern compounds, ICH M7 Class 1 compounds with an AI &lt; 1.5 µg/day, and non-mutagenic leachables with a derived Permitted Daily Exposure (PDE) following the methodology described in Appendix 5 for which the established QT values may not be protective of patient safety (see Appendix 6).</w:t>
      </w:r>
    </w:p>
    <w:p w14:paraId="241E95EB" w14:textId="43DC97E2" w:rsidR="00581A26" w:rsidRPr="00FB5303" w:rsidRDefault="00581A26" w:rsidP="00581A26">
      <w:pPr>
        <w:pStyle w:val="ICHTextOnly"/>
      </w:pPr>
      <w:r w:rsidRPr="695951DC">
        <w:t>Class 2 is the default leachable classification and includes compounds for which the chronic parenteral administration thresholds for mutagenicity (TTC) and systemic toxicity (QT), as described in this guideline, are considered to be sufficiently patient protective.  This includes</w:t>
      </w:r>
      <w:r w:rsidR="00F20BE2">
        <w:t xml:space="preserve"> </w:t>
      </w:r>
      <w:r w:rsidR="008030C2">
        <w:t>all</w:t>
      </w:r>
      <w:r w:rsidR="00C313A5">
        <w:t xml:space="preserve"> </w:t>
      </w:r>
      <w:r w:rsidRPr="695951DC">
        <w:t xml:space="preserve">compounds </w:t>
      </w:r>
      <w:r w:rsidR="002E0659" w:rsidRPr="695951DC">
        <w:t xml:space="preserve">for which a PDE was not </w:t>
      </w:r>
      <w:r w:rsidR="004A3207">
        <w:t xml:space="preserve">specifically listed </w:t>
      </w:r>
      <w:r w:rsidR="00F33BBB">
        <w:t>in</w:t>
      </w:r>
      <w:r w:rsidR="002E0659" w:rsidRPr="695951DC">
        <w:t xml:space="preserve"> this guideline</w:t>
      </w:r>
      <w:r w:rsidRPr="695951DC">
        <w:t>.</w:t>
      </w:r>
    </w:p>
    <w:p w14:paraId="446A2805" w14:textId="6410CDE5" w:rsidR="00581A26" w:rsidRPr="00FB5303" w:rsidRDefault="00581A26" w:rsidP="00581A26">
      <w:pPr>
        <w:pStyle w:val="ICHTextOnly"/>
      </w:pPr>
      <w:r w:rsidRPr="695951DC">
        <w:t xml:space="preserve">Class 3 leachables are compounds </w:t>
      </w:r>
      <w:r w:rsidR="00C57212">
        <w:t>established</w:t>
      </w:r>
      <w:r w:rsidR="00BF2350">
        <w:t xml:space="preserve"> </w:t>
      </w:r>
      <w:r w:rsidR="00FF3537">
        <w:t>to</w:t>
      </w:r>
      <w:r w:rsidRPr="695951DC">
        <w:t xml:space="preserve"> have relatively low potency for systemic toxicity with derived chronic parenteral PDE in excess of the levels at which leachables are typically observed. Class 3 leachables would not require further safety qualification if observed at daily exposure levels &lt; 1</w:t>
      </w:r>
      <w:r w:rsidR="003B0333">
        <w:t>.0</w:t>
      </w:r>
      <w:r w:rsidRPr="695951DC">
        <w:t xml:space="preserve"> mg/day.</w:t>
      </w:r>
    </w:p>
    <w:p w14:paraId="378E24E1" w14:textId="77777777" w:rsidR="00DA7A55" w:rsidRDefault="00581A26" w:rsidP="00581A26">
      <w:pPr>
        <w:pStyle w:val="ICHTextOnly"/>
      </w:pPr>
      <w:r w:rsidRPr="695951DC">
        <w:t xml:space="preserve">A summary of these leachables classes is provided in Table A.4.1, below. Leachable levels greater than identified in Table A.4.1 should be scientifically justified as described in Appendix 5. </w:t>
      </w:r>
    </w:p>
    <w:p w14:paraId="5AF6F2A9" w14:textId="77777777" w:rsidR="00DA7A55" w:rsidRDefault="00DA7A55">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sz w:val="24"/>
          <w:szCs w:val="24"/>
        </w:rPr>
      </w:pPr>
      <w:r>
        <w:br w:type="page"/>
      </w:r>
    </w:p>
    <w:p w14:paraId="109CCFA8" w14:textId="77777777" w:rsidR="00581A26" w:rsidRPr="00FB5303" w:rsidRDefault="00581A26" w:rsidP="00581A26">
      <w:pPr>
        <w:pStyle w:val="ICHTextOnly"/>
      </w:pPr>
    </w:p>
    <w:p w14:paraId="42436157" w14:textId="0712B31A" w:rsidR="00D014AA" w:rsidRPr="00D014AA" w:rsidRDefault="00D014AA" w:rsidP="00D014AA">
      <w:pPr>
        <w:pStyle w:val="ICHTextOnly"/>
        <w:jc w:val="center"/>
        <w:rPr>
          <w:b/>
          <w:bCs/>
        </w:rPr>
      </w:pPr>
      <w:r w:rsidRPr="00D014AA">
        <w:rPr>
          <w:b/>
          <w:bCs/>
        </w:rPr>
        <w:t>Table A.4.1: Potency Classes for Leachables</w:t>
      </w:r>
    </w:p>
    <w:tbl>
      <w:tblPr>
        <w:tblStyle w:val="TableGrid"/>
        <w:tblW w:w="0" w:type="auto"/>
        <w:tblLayout w:type="fixed"/>
        <w:tblLook w:val="06A0" w:firstRow="1" w:lastRow="0" w:firstColumn="1" w:lastColumn="0" w:noHBand="1" w:noVBand="1"/>
      </w:tblPr>
      <w:tblGrid>
        <w:gridCol w:w="9360"/>
      </w:tblGrid>
      <w:tr w:rsidR="005B17D1" w14:paraId="3F1771A6" w14:textId="77777777" w:rsidTr="00383F97">
        <w:trPr>
          <w:trHeight w:val="300"/>
        </w:trPr>
        <w:tc>
          <w:tcPr>
            <w:tcW w:w="9360" w:type="dxa"/>
          </w:tcPr>
          <w:p w14:paraId="3D05B8A2" w14:textId="601AD715" w:rsidR="005B17D1" w:rsidRPr="005B17D1" w:rsidRDefault="005B17D1" w:rsidP="005B17D1">
            <w:pPr>
              <w:pStyle w:val="ICHTextOnly"/>
              <w:rPr>
                <w:b/>
                <w:bCs/>
              </w:rPr>
            </w:pPr>
            <w:r w:rsidRPr="005B17D1">
              <w:rPr>
                <w:b/>
                <w:bCs/>
              </w:rPr>
              <w:t>Class 1</w:t>
            </w:r>
            <w:r w:rsidR="008D2315">
              <w:rPr>
                <w:b/>
                <w:bCs/>
              </w:rPr>
              <w:t xml:space="preserve"> – Leachables to be avoided</w:t>
            </w:r>
          </w:p>
          <w:p w14:paraId="1F88E177" w14:textId="77777777" w:rsidR="005B17D1" w:rsidRDefault="005B17D1" w:rsidP="005B17D1">
            <w:pPr>
              <w:pStyle w:val="ICHTextOnly"/>
            </w:pPr>
            <w:r w:rsidRPr="6ECC6B75">
              <w:rPr>
                <w:u w:val="single"/>
              </w:rPr>
              <w:t>Mutagens/Predicted Mutagens</w:t>
            </w:r>
          </w:p>
          <w:p w14:paraId="613E5810" w14:textId="77777777" w:rsidR="005B17D1" w:rsidRDefault="005B17D1" w:rsidP="005B17D1">
            <w:pPr>
              <w:pStyle w:val="ICHTextOnly"/>
            </w:pPr>
            <w:r w:rsidRPr="6ECC6B75">
              <w:t xml:space="preserve">Leachables that are part of the ICH M7 cohort of concern (aflatoxin-like-, N-nitroso-, and alkyl-azoxy compounds). </w:t>
            </w:r>
          </w:p>
          <w:p w14:paraId="2FC542BE" w14:textId="77777777" w:rsidR="005B17D1" w:rsidRDefault="005B17D1" w:rsidP="005B17D1">
            <w:pPr>
              <w:pStyle w:val="ICHTextOnly"/>
            </w:pPr>
            <w:r w:rsidRPr="6ECC6B75">
              <w:t>Leachables meeting criteria for ICH M7 Class 1 impurities and an AI &lt; 1.5 µg/day.</w:t>
            </w:r>
          </w:p>
          <w:p w14:paraId="3D9E4033" w14:textId="77777777" w:rsidR="005B17D1" w:rsidRDefault="005B17D1" w:rsidP="005B17D1">
            <w:pPr>
              <w:pStyle w:val="ICHTextOnly"/>
            </w:pPr>
            <w:r w:rsidRPr="6ECC6B75">
              <w:rPr>
                <w:u w:val="single"/>
              </w:rPr>
              <w:t>Non-mutagens/Predicted Non-Mutagens</w:t>
            </w:r>
          </w:p>
          <w:p w14:paraId="7B11C1CF" w14:textId="77777777" w:rsidR="005B17D1" w:rsidRDefault="005B17D1" w:rsidP="005B17D1">
            <w:pPr>
              <w:pStyle w:val="ICHTextOnly"/>
            </w:pPr>
            <w:r w:rsidRPr="6ECC6B75">
              <w:t xml:space="preserve">Leachables that have a derived parenteral PDE for which the established QT values may not be protective of patient safety (see list below).    </w:t>
            </w:r>
          </w:p>
          <w:p w14:paraId="734527DE" w14:textId="77777777" w:rsidR="005B17D1" w:rsidRDefault="005B17D1" w:rsidP="005B17D1">
            <w:pPr>
              <w:pStyle w:val="ICHTextOnly"/>
              <w:rPr>
                <w:i/>
                <w:iCs/>
              </w:rPr>
            </w:pPr>
            <w:r w:rsidRPr="6ECC6B75">
              <w:rPr>
                <w:i/>
                <w:iCs/>
              </w:rPr>
              <w:t>ICH Q3E Class 1 leachables should be avoided when practically feasible and exposure should not exceed a scientifically justified compound-specific acceptable exposure level.</w:t>
            </w:r>
          </w:p>
        </w:tc>
      </w:tr>
      <w:tr w:rsidR="005B17D1" w14:paraId="5CF32FC1" w14:textId="77777777" w:rsidTr="00383F97">
        <w:trPr>
          <w:trHeight w:val="300"/>
        </w:trPr>
        <w:tc>
          <w:tcPr>
            <w:tcW w:w="9360" w:type="dxa"/>
          </w:tcPr>
          <w:p w14:paraId="016FCCD8" w14:textId="64DB32F1" w:rsidR="005B17D1" w:rsidRPr="005B17D1" w:rsidRDefault="005B17D1" w:rsidP="005B17D1">
            <w:pPr>
              <w:pStyle w:val="ICHTextOnly"/>
              <w:rPr>
                <w:b/>
                <w:bCs/>
              </w:rPr>
            </w:pPr>
            <w:r w:rsidRPr="005B17D1">
              <w:rPr>
                <w:b/>
                <w:bCs/>
              </w:rPr>
              <w:t xml:space="preserve">Class 2 </w:t>
            </w:r>
            <w:r w:rsidR="002972BB">
              <w:rPr>
                <w:b/>
                <w:bCs/>
              </w:rPr>
              <w:t>– Leachables to be limited</w:t>
            </w:r>
          </w:p>
          <w:p w14:paraId="39121E49" w14:textId="77777777" w:rsidR="005B17D1" w:rsidRDefault="005B17D1" w:rsidP="005B17D1">
            <w:pPr>
              <w:pStyle w:val="ICHTextOnly"/>
            </w:pPr>
            <w:r w:rsidRPr="6ECC6B75">
              <w:rPr>
                <w:u w:val="single"/>
              </w:rPr>
              <w:t>Mutagens/Predicted Mutagens</w:t>
            </w:r>
          </w:p>
          <w:p w14:paraId="0720A99F" w14:textId="77777777" w:rsidR="005B17D1" w:rsidRDefault="005B17D1" w:rsidP="005B17D1">
            <w:pPr>
              <w:pStyle w:val="ICHTextOnly"/>
            </w:pPr>
            <w:r w:rsidRPr="6ECC6B75">
              <w:t xml:space="preserve">Leachables meeting criteria for ICH M7 Class 1 impurities and an AI ≥ 1.5 µg/day. </w:t>
            </w:r>
          </w:p>
          <w:p w14:paraId="0B17E233" w14:textId="77777777" w:rsidR="005B17D1" w:rsidRDefault="005B17D1" w:rsidP="005B17D1">
            <w:pPr>
              <w:pStyle w:val="ICHTextOnly"/>
            </w:pPr>
            <w:r w:rsidRPr="6ECC6B75">
              <w:t>Leachables meeting criteria for ICH M7 Class 2 or 3 impurities.</w:t>
            </w:r>
          </w:p>
          <w:p w14:paraId="2E4D832A" w14:textId="77777777" w:rsidR="005B17D1" w:rsidRDefault="005B17D1" w:rsidP="005B17D1">
            <w:pPr>
              <w:pStyle w:val="ICHTextOnly"/>
              <w:rPr>
                <w:i/>
                <w:iCs/>
              </w:rPr>
            </w:pPr>
            <w:r w:rsidRPr="6ECC6B75">
              <w:rPr>
                <w:i/>
                <w:iCs/>
              </w:rPr>
              <w:t>ICH Q3E Class 2 mutagenic (or predicted mutagenic) leachables should not exceed (1) the TTC or less-than-lifetime TTC as appropriate or (2) the QT pertinent to the drug product.</w:t>
            </w:r>
          </w:p>
          <w:p w14:paraId="6EADA46B" w14:textId="77777777" w:rsidR="005B17D1" w:rsidRDefault="005B17D1" w:rsidP="005B17D1">
            <w:pPr>
              <w:pStyle w:val="ICHTextOnly"/>
            </w:pPr>
            <w:r w:rsidRPr="6ECC6B75">
              <w:rPr>
                <w:u w:val="single"/>
              </w:rPr>
              <w:t>Non-mutagens/Predicted Non-Mutagens</w:t>
            </w:r>
          </w:p>
          <w:p w14:paraId="168985A0" w14:textId="695FA821" w:rsidR="005B17D1" w:rsidRDefault="005B17D1" w:rsidP="005B17D1">
            <w:pPr>
              <w:pStyle w:val="ICHTextOnly"/>
            </w:pPr>
            <w:r w:rsidRPr="6ECC6B75">
              <w:t xml:space="preserve">Leachables considered to have a parenteral PDE &gt; QT </w:t>
            </w:r>
            <w:r w:rsidR="002F0134" w:rsidRPr="002F0134">
              <w:t>(</w:t>
            </w:r>
            <w:r w:rsidR="005A7AC9">
              <w:t>excluding those</w:t>
            </w:r>
            <w:r w:rsidR="002F0134" w:rsidRPr="002F0134">
              <w:t xml:space="preserve"> established as </w:t>
            </w:r>
            <w:r w:rsidR="002C5874">
              <w:t>C</w:t>
            </w:r>
            <w:r w:rsidR="002F0134" w:rsidRPr="002F0134">
              <w:t>lass 3)</w:t>
            </w:r>
            <w:r w:rsidRPr="6ECC6B75">
              <w:t xml:space="preserve"> following the methodology described in Appendix 5. </w:t>
            </w:r>
          </w:p>
          <w:p w14:paraId="34D7FC34" w14:textId="6D607ECA" w:rsidR="005B17D1" w:rsidRDefault="005B17D1" w:rsidP="005B17D1">
            <w:pPr>
              <w:pStyle w:val="ICHTextOnly"/>
              <w:rPr>
                <w:i/>
                <w:iCs/>
              </w:rPr>
            </w:pPr>
            <w:r w:rsidRPr="6ECC6B75">
              <w:rPr>
                <w:i/>
                <w:iCs/>
              </w:rPr>
              <w:t xml:space="preserve">ICH Q3E Class 2 non-mutagenic (or predicted non-mutagenic) leachables are considered qualified up to the QT pertinent to the drug product </w:t>
            </w:r>
            <w:r w:rsidR="0076211F">
              <w:rPr>
                <w:i/>
                <w:iCs/>
              </w:rPr>
              <w:t>without</w:t>
            </w:r>
            <w:r w:rsidRPr="6ECC6B75">
              <w:rPr>
                <w:i/>
                <w:iCs/>
              </w:rPr>
              <w:t xml:space="preserve"> further safety justification.</w:t>
            </w:r>
          </w:p>
        </w:tc>
      </w:tr>
      <w:tr w:rsidR="005B17D1" w14:paraId="022F6493" w14:textId="77777777" w:rsidTr="00383F97">
        <w:trPr>
          <w:trHeight w:val="300"/>
        </w:trPr>
        <w:tc>
          <w:tcPr>
            <w:tcW w:w="9360" w:type="dxa"/>
          </w:tcPr>
          <w:p w14:paraId="787BE949" w14:textId="4DA59DD1" w:rsidR="005B17D1" w:rsidRPr="005B17D1" w:rsidRDefault="005B17D1" w:rsidP="005B17D1">
            <w:pPr>
              <w:pStyle w:val="ICHTextOnly"/>
              <w:rPr>
                <w:b/>
                <w:bCs/>
              </w:rPr>
            </w:pPr>
            <w:r w:rsidRPr="005B17D1">
              <w:rPr>
                <w:b/>
                <w:bCs/>
              </w:rPr>
              <w:t>Class 3</w:t>
            </w:r>
            <w:r w:rsidR="002972BB">
              <w:rPr>
                <w:b/>
                <w:bCs/>
              </w:rPr>
              <w:t xml:space="preserve"> </w:t>
            </w:r>
            <w:r w:rsidR="0004347F">
              <w:rPr>
                <w:b/>
                <w:bCs/>
              </w:rPr>
              <w:t>–</w:t>
            </w:r>
            <w:r w:rsidR="00C87FE8">
              <w:rPr>
                <w:b/>
                <w:bCs/>
              </w:rPr>
              <w:t xml:space="preserve"> </w:t>
            </w:r>
            <w:r w:rsidR="0004347F">
              <w:rPr>
                <w:b/>
                <w:bCs/>
              </w:rPr>
              <w:t xml:space="preserve">Leachables with </w:t>
            </w:r>
            <w:r w:rsidR="00012DDD">
              <w:rPr>
                <w:b/>
                <w:bCs/>
              </w:rPr>
              <w:t xml:space="preserve">relatively </w:t>
            </w:r>
            <w:r w:rsidR="0004347F">
              <w:rPr>
                <w:b/>
                <w:bCs/>
              </w:rPr>
              <w:t>low toxic potential</w:t>
            </w:r>
          </w:p>
          <w:p w14:paraId="44B17E1F" w14:textId="03B84A6D" w:rsidR="005B17D1" w:rsidRDefault="005B17D1" w:rsidP="005B17D1">
            <w:pPr>
              <w:pStyle w:val="ICHTextOnly"/>
            </w:pPr>
            <w:r w:rsidRPr="6ECC6B75">
              <w:t xml:space="preserve">Non-mutagenic leachables </w:t>
            </w:r>
            <w:r w:rsidR="00FF3537">
              <w:t xml:space="preserve">established </w:t>
            </w:r>
            <w:r w:rsidRPr="6ECC6B75">
              <w:t xml:space="preserve">to have a </w:t>
            </w:r>
            <w:r w:rsidR="005D172F" w:rsidRPr="695951DC">
              <w:t>chronic parenteral PDE in excess of the levels at which leachables are typically observed</w:t>
            </w:r>
            <w:r w:rsidRPr="6ECC6B75">
              <w:t>.</w:t>
            </w:r>
          </w:p>
          <w:p w14:paraId="6840349D" w14:textId="70982FAB" w:rsidR="005B17D1" w:rsidRDefault="005B17D1" w:rsidP="005B17D1">
            <w:pPr>
              <w:pStyle w:val="ICHTextOnly"/>
              <w:rPr>
                <w:i/>
                <w:iCs/>
              </w:rPr>
            </w:pPr>
            <w:r w:rsidRPr="6ECC6B75">
              <w:rPr>
                <w:i/>
                <w:iCs/>
              </w:rPr>
              <w:t xml:space="preserve">ICH Q3E Class 3 leachables </w:t>
            </w:r>
            <w:r w:rsidR="001B7D5C" w:rsidRPr="6ECC6B75">
              <w:rPr>
                <w:i/>
                <w:iCs/>
              </w:rPr>
              <w:t xml:space="preserve">are considered qualified </w:t>
            </w:r>
            <w:r w:rsidRPr="6ECC6B75">
              <w:rPr>
                <w:i/>
                <w:iCs/>
              </w:rPr>
              <w:t xml:space="preserve">up to </w:t>
            </w:r>
            <w:r w:rsidR="0046356B" w:rsidRPr="6ECC6B75">
              <w:rPr>
                <w:i/>
                <w:iCs/>
              </w:rPr>
              <w:t>1</w:t>
            </w:r>
            <w:r w:rsidR="006D2C20">
              <w:rPr>
                <w:i/>
                <w:iCs/>
              </w:rPr>
              <w:t>.0</w:t>
            </w:r>
            <w:r w:rsidR="0046356B" w:rsidRPr="6ECC6B75">
              <w:rPr>
                <w:i/>
                <w:iCs/>
              </w:rPr>
              <w:t xml:space="preserve"> mg/day </w:t>
            </w:r>
            <w:r w:rsidR="0046356B">
              <w:rPr>
                <w:i/>
                <w:iCs/>
              </w:rPr>
              <w:t xml:space="preserve">or </w:t>
            </w:r>
            <w:r w:rsidRPr="6ECC6B75">
              <w:rPr>
                <w:i/>
                <w:iCs/>
              </w:rPr>
              <w:t xml:space="preserve">the compound specific PDE (see </w:t>
            </w:r>
            <w:r w:rsidR="00FA7AC0">
              <w:rPr>
                <w:i/>
                <w:iCs/>
              </w:rPr>
              <w:t>Table</w:t>
            </w:r>
            <w:r w:rsidR="00FA7AC0" w:rsidRPr="6ECC6B75">
              <w:rPr>
                <w:i/>
                <w:iCs/>
              </w:rPr>
              <w:t xml:space="preserve"> </w:t>
            </w:r>
            <w:r w:rsidRPr="6ECC6B75">
              <w:rPr>
                <w:i/>
                <w:iCs/>
              </w:rPr>
              <w:t>below</w:t>
            </w:r>
            <w:r w:rsidR="00FA7AC0">
              <w:rPr>
                <w:i/>
                <w:iCs/>
              </w:rPr>
              <w:t xml:space="preserve"> and </w:t>
            </w:r>
            <w:r w:rsidR="00DD5294">
              <w:rPr>
                <w:i/>
                <w:iCs/>
              </w:rPr>
              <w:t>Supporting Document</w:t>
            </w:r>
            <w:r w:rsidRPr="6ECC6B75">
              <w:rPr>
                <w:i/>
                <w:iCs/>
              </w:rPr>
              <w:t xml:space="preserve">) </w:t>
            </w:r>
            <w:r w:rsidR="000D5A31">
              <w:rPr>
                <w:i/>
                <w:iCs/>
              </w:rPr>
              <w:t>without</w:t>
            </w:r>
            <w:r w:rsidRPr="6ECC6B75">
              <w:rPr>
                <w:i/>
                <w:iCs/>
              </w:rPr>
              <w:t xml:space="preserve"> further safety justification.</w:t>
            </w:r>
          </w:p>
        </w:tc>
      </w:tr>
    </w:tbl>
    <w:p w14:paraId="7F74769A" w14:textId="6C7B3ACC" w:rsidR="00746F2A" w:rsidRDefault="00746F2A" w:rsidP="009C21F8">
      <w:pPr>
        <w:pStyle w:val="ICHTextOnly"/>
        <w:rPr>
          <w:b/>
          <w:bCs/>
        </w:rPr>
      </w:pPr>
    </w:p>
    <w:p w14:paraId="4E8B83CB" w14:textId="77777777" w:rsidR="00746F2A" w:rsidRDefault="00746F2A">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b/>
          <w:bCs/>
          <w:sz w:val="24"/>
          <w:szCs w:val="24"/>
        </w:rPr>
      </w:pPr>
      <w:r>
        <w:rPr>
          <w:b/>
          <w:bCs/>
        </w:rPr>
        <w:br w:type="page"/>
      </w:r>
    </w:p>
    <w:p w14:paraId="0E4E4A0B" w14:textId="3D79C4F1" w:rsidR="009C21F8" w:rsidRPr="00391389" w:rsidRDefault="00746F2A" w:rsidP="009C21F8">
      <w:pPr>
        <w:pStyle w:val="ICHTextOnly"/>
        <w:rPr>
          <w:b/>
          <w:bCs/>
        </w:rPr>
      </w:pPr>
      <w:r w:rsidRPr="00391389">
        <w:rPr>
          <w:b/>
          <w:bCs/>
        </w:rPr>
        <w:lastRenderedPageBreak/>
        <w:t>Class 1 Leachables</w:t>
      </w:r>
      <w:r w:rsidR="00871410">
        <w:rPr>
          <w:b/>
          <w:bCs/>
        </w:rPr>
        <w:t xml:space="preserve"> to be avoided</w:t>
      </w:r>
    </w:p>
    <w:tbl>
      <w:tblPr>
        <w:tblStyle w:val="TableGrid"/>
        <w:tblW w:w="9946" w:type="dxa"/>
        <w:tblLayout w:type="fixed"/>
        <w:tblLook w:val="04A0" w:firstRow="1" w:lastRow="0" w:firstColumn="1" w:lastColumn="0" w:noHBand="0" w:noVBand="1"/>
      </w:tblPr>
      <w:tblGrid>
        <w:gridCol w:w="1838"/>
        <w:gridCol w:w="992"/>
        <w:gridCol w:w="1200"/>
        <w:gridCol w:w="1200"/>
        <w:gridCol w:w="1200"/>
        <w:gridCol w:w="1201"/>
        <w:gridCol w:w="2315"/>
      </w:tblGrid>
      <w:tr w:rsidR="000A7678" w:rsidRPr="00A73455" w14:paraId="28A766CB" w14:textId="00DD3577" w:rsidTr="007E0EC5">
        <w:trPr>
          <w:trHeight w:val="1267"/>
        </w:trPr>
        <w:tc>
          <w:tcPr>
            <w:tcW w:w="1838" w:type="dxa"/>
            <w:vMerge w:val="restart"/>
            <w:vAlign w:val="center"/>
          </w:tcPr>
          <w:p w14:paraId="2E337CFE" w14:textId="2CE7870A" w:rsidR="000A7678" w:rsidRPr="007146A2" w:rsidRDefault="000A7678" w:rsidP="005404AC">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r w:rsidRPr="007146A2">
              <w:rPr>
                <w:rStyle w:val="ui-provider"/>
                <w:b/>
              </w:rPr>
              <w:t>Compound</w:t>
            </w:r>
          </w:p>
        </w:tc>
        <w:tc>
          <w:tcPr>
            <w:tcW w:w="992" w:type="dxa"/>
            <w:vMerge w:val="restart"/>
            <w:vAlign w:val="center"/>
          </w:tcPr>
          <w:p w14:paraId="084EEC00" w14:textId="592ED51A" w:rsidR="000A7678" w:rsidRPr="007146A2" w:rsidRDefault="000A7678" w:rsidP="005404AC">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r w:rsidRPr="007146A2">
              <w:rPr>
                <w:rStyle w:val="ui-provider"/>
                <w:b/>
              </w:rPr>
              <w:t>CAS#</w:t>
            </w:r>
          </w:p>
        </w:tc>
        <w:tc>
          <w:tcPr>
            <w:tcW w:w="2400" w:type="dxa"/>
            <w:gridSpan w:val="2"/>
            <w:vAlign w:val="center"/>
          </w:tcPr>
          <w:p w14:paraId="1BDF9098" w14:textId="7F077199" w:rsidR="000A7678" w:rsidRPr="007146A2" w:rsidRDefault="000A7678" w:rsidP="005404AC">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r>
              <w:rPr>
                <w:rStyle w:val="ui-provider"/>
                <w:b/>
              </w:rPr>
              <w:t>Acute Acceptable Exposure Level (</w:t>
            </w:r>
            <w:r w:rsidRPr="007146A2">
              <w:rPr>
                <w:rStyle w:val="ui-provider"/>
                <w:b/>
              </w:rPr>
              <w:t>µg/day</w:t>
            </w:r>
            <w:r>
              <w:rPr>
                <w:rStyle w:val="ui-provider"/>
                <w:b/>
              </w:rPr>
              <w:t>)</w:t>
            </w:r>
          </w:p>
        </w:tc>
        <w:tc>
          <w:tcPr>
            <w:tcW w:w="2401" w:type="dxa"/>
            <w:gridSpan w:val="2"/>
            <w:vAlign w:val="center"/>
          </w:tcPr>
          <w:p w14:paraId="6ABAE30B" w14:textId="46E68502" w:rsidR="000A7678" w:rsidRPr="007146A2" w:rsidRDefault="000A7678" w:rsidP="005404AC">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r>
              <w:rPr>
                <w:rStyle w:val="ui-provider"/>
                <w:b/>
              </w:rPr>
              <w:t>Chronic PDE (</w:t>
            </w:r>
            <w:r w:rsidRPr="007146A2">
              <w:rPr>
                <w:rStyle w:val="ui-provider"/>
                <w:b/>
              </w:rPr>
              <w:t>µg/day</w:t>
            </w:r>
            <w:r>
              <w:rPr>
                <w:rStyle w:val="ui-provider"/>
                <w:b/>
              </w:rPr>
              <w:t>)</w:t>
            </w:r>
          </w:p>
        </w:tc>
        <w:tc>
          <w:tcPr>
            <w:tcW w:w="2315" w:type="dxa"/>
            <w:vMerge w:val="restart"/>
            <w:vAlign w:val="center"/>
          </w:tcPr>
          <w:p w14:paraId="4158C1C4" w14:textId="4A047B8B" w:rsidR="000A7678" w:rsidRPr="007146A2" w:rsidRDefault="000A7678" w:rsidP="005404AC">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r w:rsidRPr="007146A2">
              <w:rPr>
                <w:rStyle w:val="ui-provider"/>
                <w:b/>
              </w:rPr>
              <w:t>Associated Material</w:t>
            </w:r>
          </w:p>
        </w:tc>
      </w:tr>
      <w:tr w:rsidR="008B07E2" w:rsidRPr="00A73455" w14:paraId="01A6CA56" w14:textId="77777777" w:rsidTr="007E0EC5">
        <w:trPr>
          <w:trHeight w:val="454"/>
        </w:trPr>
        <w:tc>
          <w:tcPr>
            <w:tcW w:w="1838" w:type="dxa"/>
            <w:vMerge/>
            <w:vAlign w:val="center"/>
          </w:tcPr>
          <w:p w14:paraId="228DADA5" w14:textId="77777777" w:rsidR="008B07E2" w:rsidRPr="007146A2" w:rsidRDefault="008B07E2" w:rsidP="008B07E2">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p>
        </w:tc>
        <w:tc>
          <w:tcPr>
            <w:tcW w:w="992" w:type="dxa"/>
            <w:vMerge/>
            <w:vAlign w:val="center"/>
          </w:tcPr>
          <w:p w14:paraId="304B63B7" w14:textId="77777777" w:rsidR="008B07E2" w:rsidRPr="007146A2" w:rsidRDefault="008B07E2" w:rsidP="008B07E2">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p>
        </w:tc>
        <w:tc>
          <w:tcPr>
            <w:tcW w:w="1200" w:type="dxa"/>
            <w:vAlign w:val="center"/>
          </w:tcPr>
          <w:p w14:paraId="7B3AD809" w14:textId="1E602890" w:rsidR="008B07E2" w:rsidRPr="008B07E2" w:rsidRDefault="008B07E2" w:rsidP="008B07E2">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r w:rsidRPr="008B07E2">
              <w:rPr>
                <w:rStyle w:val="ui-provider"/>
                <w:b/>
                <w:sz w:val="20"/>
                <w:szCs w:val="20"/>
              </w:rPr>
              <w:t>Oral</w:t>
            </w:r>
          </w:p>
        </w:tc>
        <w:tc>
          <w:tcPr>
            <w:tcW w:w="1200" w:type="dxa"/>
            <w:vAlign w:val="center"/>
          </w:tcPr>
          <w:p w14:paraId="573D35FA" w14:textId="4998BF01" w:rsidR="008B07E2" w:rsidRPr="008B07E2" w:rsidRDefault="008B07E2" w:rsidP="008B07E2">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sz w:val="20"/>
                <w:szCs w:val="20"/>
              </w:rPr>
            </w:pPr>
            <w:r w:rsidRPr="008B07E2">
              <w:rPr>
                <w:rStyle w:val="ui-provider"/>
                <w:b/>
                <w:sz w:val="20"/>
                <w:szCs w:val="20"/>
              </w:rPr>
              <w:t>Parenteral</w:t>
            </w:r>
          </w:p>
        </w:tc>
        <w:tc>
          <w:tcPr>
            <w:tcW w:w="1200" w:type="dxa"/>
            <w:vAlign w:val="center"/>
          </w:tcPr>
          <w:p w14:paraId="6637E918" w14:textId="0FC1FC43" w:rsidR="008B07E2" w:rsidRDefault="008B07E2" w:rsidP="008B07E2">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r w:rsidRPr="008B07E2">
              <w:rPr>
                <w:rStyle w:val="ui-provider"/>
                <w:b/>
                <w:sz w:val="20"/>
                <w:szCs w:val="20"/>
              </w:rPr>
              <w:t>Oral</w:t>
            </w:r>
          </w:p>
        </w:tc>
        <w:tc>
          <w:tcPr>
            <w:tcW w:w="1201" w:type="dxa"/>
            <w:vAlign w:val="center"/>
          </w:tcPr>
          <w:p w14:paraId="624C9122" w14:textId="6B173CC5" w:rsidR="008B07E2" w:rsidRDefault="008B07E2" w:rsidP="008B07E2">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r w:rsidRPr="008B07E2">
              <w:rPr>
                <w:rStyle w:val="ui-provider"/>
                <w:b/>
                <w:sz w:val="20"/>
                <w:szCs w:val="20"/>
              </w:rPr>
              <w:t>Parenteral</w:t>
            </w:r>
          </w:p>
        </w:tc>
        <w:tc>
          <w:tcPr>
            <w:tcW w:w="2315" w:type="dxa"/>
            <w:vMerge/>
            <w:vAlign w:val="center"/>
          </w:tcPr>
          <w:p w14:paraId="2E68B2F9" w14:textId="77777777" w:rsidR="008B07E2" w:rsidRPr="007146A2" w:rsidRDefault="008B07E2" w:rsidP="008B07E2">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b/>
              </w:rPr>
            </w:pPr>
          </w:p>
        </w:tc>
      </w:tr>
      <w:tr w:rsidR="008B07E2" w:rsidRPr="00A73455" w14:paraId="0173ECF6" w14:textId="5ACC2ADB" w:rsidTr="007E0EC5">
        <w:trPr>
          <w:trHeight w:val="659"/>
        </w:trPr>
        <w:tc>
          <w:tcPr>
            <w:tcW w:w="1838" w:type="dxa"/>
            <w:vAlign w:val="center"/>
          </w:tcPr>
          <w:p w14:paraId="391F548F" w14:textId="6EC00F1D" w:rsidR="008B07E2" w:rsidRPr="007146A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Fonts w:ascii="Century" w:hAnsi="Century" w:cs="Century"/>
                <w:sz w:val="21"/>
                <w:szCs w:val="21"/>
              </w:rPr>
            </w:pPr>
            <w:r w:rsidRPr="007146A2">
              <w:rPr>
                <w:rStyle w:val="ui-provider"/>
              </w:rPr>
              <w:t>Benzo(a)pyrene</w:t>
            </w:r>
          </w:p>
        </w:tc>
        <w:tc>
          <w:tcPr>
            <w:tcW w:w="992" w:type="dxa"/>
            <w:vAlign w:val="center"/>
          </w:tcPr>
          <w:p w14:paraId="01FBD17D" w14:textId="1CBAD4F7" w:rsidR="008B07E2" w:rsidRPr="007146A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1275AE">
              <w:rPr>
                <w:rStyle w:val="ui-provider"/>
              </w:rPr>
              <w:t>50-32-8</w:t>
            </w:r>
          </w:p>
        </w:tc>
        <w:tc>
          <w:tcPr>
            <w:tcW w:w="1200" w:type="dxa"/>
            <w:vAlign w:val="center"/>
          </w:tcPr>
          <w:p w14:paraId="1CF82AF4" w14:textId="77777777" w:rsidR="008B07E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rPr>
              <w:t>13</w:t>
            </w:r>
          </w:p>
        </w:tc>
        <w:tc>
          <w:tcPr>
            <w:tcW w:w="1200" w:type="dxa"/>
            <w:vAlign w:val="center"/>
          </w:tcPr>
          <w:p w14:paraId="33D2D2F1" w14:textId="694D92C4" w:rsidR="008B07E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rPr>
              <w:t>1.3</w:t>
            </w:r>
          </w:p>
        </w:tc>
        <w:tc>
          <w:tcPr>
            <w:tcW w:w="1200" w:type="dxa"/>
            <w:vAlign w:val="center"/>
          </w:tcPr>
          <w:p w14:paraId="7EC2329E" w14:textId="77777777" w:rsidR="008B07E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rPr>
              <w:t>2.6</w:t>
            </w:r>
          </w:p>
        </w:tc>
        <w:tc>
          <w:tcPr>
            <w:tcW w:w="1201" w:type="dxa"/>
            <w:vAlign w:val="center"/>
          </w:tcPr>
          <w:p w14:paraId="39F34463" w14:textId="394BDCB7" w:rsidR="008B07E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rPr>
              <w:t>0.26</w:t>
            </w:r>
          </w:p>
        </w:tc>
        <w:tc>
          <w:tcPr>
            <w:tcW w:w="2315" w:type="dxa"/>
            <w:vAlign w:val="center"/>
          </w:tcPr>
          <w:p w14:paraId="6594EAA0" w14:textId="44220BB8" w:rsidR="008B07E2" w:rsidRPr="007146A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t>C</w:t>
            </w:r>
            <w:r w:rsidRPr="00F72920">
              <w:t xml:space="preserve">arbon black </w:t>
            </w:r>
          </w:p>
        </w:tc>
      </w:tr>
      <w:tr w:rsidR="008B07E2" w:rsidRPr="00A73455" w14:paraId="66DE1CA5" w14:textId="2497F718" w:rsidTr="007E0EC5">
        <w:trPr>
          <w:trHeight w:val="374"/>
        </w:trPr>
        <w:tc>
          <w:tcPr>
            <w:tcW w:w="1838" w:type="dxa"/>
            <w:vAlign w:val="center"/>
          </w:tcPr>
          <w:p w14:paraId="57565CF4" w14:textId="07628324" w:rsidR="008B07E2" w:rsidRPr="007146A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Fonts w:ascii="Century" w:hAnsi="Century" w:cs="Century"/>
                <w:sz w:val="21"/>
                <w:szCs w:val="21"/>
              </w:rPr>
            </w:pPr>
            <w:r w:rsidRPr="007146A2">
              <w:rPr>
                <w:rStyle w:val="ui-provider"/>
              </w:rPr>
              <w:t>Bisphenol A</w:t>
            </w:r>
          </w:p>
        </w:tc>
        <w:tc>
          <w:tcPr>
            <w:tcW w:w="992" w:type="dxa"/>
            <w:vAlign w:val="center"/>
          </w:tcPr>
          <w:p w14:paraId="2738D057" w14:textId="575900D6" w:rsidR="008B07E2" w:rsidRPr="007146A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1F7B89">
              <w:rPr>
                <w:rStyle w:val="ui-provider"/>
              </w:rPr>
              <w:t>80-05-7</w:t>
            </w:r>
          </w:p>
        </w:tc>
        <w:tc>
          <w:tcPr>
            <w:tcW w:w="1200" w:type="dxa"/>
            <w:vAlign w:val="center"/>
          </w:tcPr>
          <w:p w14:paraId="798C4B16" w14:textId="77777777" w:rsidR="008B07E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rPr>
              <w:t>2,083</w:t>
            </w:r>
          </w:p>
        </w:tc>
        <w:tc>
          <w:tcPr>
            <w:tcW w:w="1200" w:type="dxa"/>
            <w:vAlign w:val="center"/>
          </w:tcPr>
          <w:p w14:paraId="16DD941A" w14:textId="1BCDD125" w:rsidR="008B07E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rPr>
              <w:t>21</w:t>
            </w:r>
          </w:p>
        </w:tc>
        <w:tc>
          <w:tcPr>
            <w:tcW w:w="1200" w:type="dxa"/>
            <w:vAlign w:val="center"/>
          </w:tcPr>
          <w:p w14:paraId="0FF69CD1" w14:textId="77777777" w:rsidR="008B07E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rPr>
              <w:t>417</w:t>
            </w:r>
          </w:p>
        </w:tc>
        <w:tc>
          <w:tcPr>
            <w:tcW w:w="1201" w:type="dxa"/>
            <w:vAlign w:val="center"/>
          </w:tcPr>
          <w:p w14:paraId="4D8762D7" w14:textId="7E84A7DF" w:rsidR="008B07E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rPr>
              <w:t>4</w:t>
            </w:r>
          </w:p>
        </w:tc>
        <w:tc>
          <w:tcPr>
            <w:tcW w:w="2315" w:type="dxa"/>
            <w:vAlign w:val="center"/>
          </w:tcPr>
          <w:p w14:paraId="74EF0851" w14:textId="0B49C1F4" w:rsidR="008B07E2" w:rsidRPr="007146A2" w:rsidRDefault="008B07E2" w:rsidP="000A7678">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rPr>
              <w:t>Polycarbonate and epoxy resin</w:t>
            </w:r>
          </w:p>
        </w:tc>
      </w:tr>
    </w:tbl>
    <w:p w14:paraId="3CB73AE0" w14:textId="77777777" w:rsidR="00391389" w:rsidRDefault="00391389" w:rsidP="00366504">
      <w:pPr>
        <w:pStyle w:val="ICHTextOnly"/>
        <w:rPr>
          <w:rStyle w:val="ui-provider"/>
        </w:rPr>
      </w:pPr>
    </w:p>
    <w:p w14:paraId="5BBD700E" w14:textId="71C644F1" w:rsidR="00391389" w:rsidRPr="007146A2" w:rsidRDefault="00391389" w:rsidP="00366504">
      <w:pPr>
        <w:pStyle w:val="ICHTextOnly"/>
        <w:rPr>
          <w:rStyle w:val="ui-provider"/>
          <w:b/>
        </w:rPr>
      </w:pPr>
      <w:r w:rsidRPr="007146A2">
        <w:rPr>
          <w:rStyle w:val="ui-provider"/>
          <w:b/>
          <w:bCs/>
        </w:rPr>
        <w:t>Class 3 Leachables</w:t>
      </w:r>
      <w:r w:rsidR="00514964">
        <w:rPr>
          <w:rStyle w:val="ui-provider"/>
          <w:b/>
          <w:bCs/>
        </w:rPr>
        <w:t xml:space="preserve"> With </w:t>
      </w:r>
      <w:r w:rsidR="00C21845">
        <w:rPr>
          <w:rStyle w:val="ui-provider"/>
          <w:b/>
          <w:bCs/>
        </w:rPr>
        <w:t xml:space="preserve">Relatively </w:t>
      </w:r>
      <w:r w:rsidR="001C7190">
        <w:rPr>
          <w:rStyle w:val="ui-provider"/>
          <w:b/>
          <w:bCs/>
        </w:rPr>
        <w:t>Low Toxic Potential (</w:t>
      </w:r>
      <w:r w:rsidR="00B958D0">
        <w:rPr>
          <w:rStyle w:val="ui-provider"/>
          <w:b/>
          <w:bCs/>
        </w:rPr>
        <w:t>Chroni</w:t>
      </w:r>
      <w:r w:rsidR="001C7190">
        <w:rPr>
          <w:rStyle w:val="ui-provider"/>
          <w:b/>
          <w:bCs/>
        </w:rPr>
        <w:t>c</w:t>
      </w:r>
      <w:r w:rsidR="00B958D0">
        <w:rPr>
          <w:rStyle w:val="ui-provider"/>
          <w:b/>
          <w:bCs/>
        </w:rPr>
        <w:t xml:space="preserve"> Parenteral </w:t>
      </w:r>
      <w:r w:rsidR="00514964">
        <w:rPr>
          <w:rStyle w:val="ui-provider"/>
          <w:b/>
          <w:bCs/>
        </w:rPr>
        <w:t xml:space="preserve">PDE </w:t>
      </w:r>
      <w:r w:rsidR="003126A6">
        <w:rPr>
          <w:rStyle w:val="ui-provider"/>
          <w:b/>
          <w:bCs/>
        </w:rPr>
        <w:t>≥</w:t>
      </w:r>
      <w:r w:rsidR="00B958D0">
        <w:rPr>
          <w:rStyle w:val="ui-provider"/>
          <w:b/>
          <w:bCs/>
        </w:rPr>
        <w:t xml:space="preserve"> 1 mg/day</w:t>
      </w:r>
      <w:r w:rsidR="001C7190">
        <w:rPr>
          <w:rStyle w:val="ui-provider"/>
          <w:b/>
          <w:bCs/>
        </w:rPr>
        <w:t>)</w:t>
      </w:r>
      <w:r w:rsidR="001634B9">
        <w:rPr>
          <w:rStyle w:val="ui-provider"/>
          <w:b/>
          <w:bCs/>
        </w:rPr>
        <w:t xml:space="preserve">. </w:t>
      </w:r>
      <w:r w:rsidR="00B35CC9">
        <w:rPr>
          <w:rStyle w:val="ui-provider"/>
          <w:b/>
          <w:bCs/>
        </w:rPr>
        <w:t>Monogra</w:t>
      </w:r>
      <w:r w:rsidR="000E5543">
        <w:rPr>
          <w:rStyle w:val="ui-provider"/>
          <w:b/>
          <w:bCs/>
        </w:rPr>
        <w:t>phs In Su</w:t>
      </w:r>
      <w:r w:rsidR="00DD5294">
        <w:rPr>
          <w:rStyle w:val="ui-provider"/>
          <w:b/>
          <w:bCs/>
        </w:rPr>
        <w:t>pporting Documents.</w:t>
      </w:r>
    </w:p>
    <w:tbl>
      <w:tblPr>
        <w:tblStyle w:val="TableGrid"/>
        <w:tblW w:w="9022" w:type="dxa"/>
        <w:tblLook w:val="04A0" w:firstRow="1" w:lastRow="0" w:firstColumn="1" w:lastColumn="0" w:noHBand="0" w:noVBand="1"/>
      </w:tblPr>
      <w:tblGrid>
        <w:gridCol w:w="2830"/>
        <w:gridCol w:w="1146"/>
        <w:gridCol w:w="5046"/>
      </w:tblGrid>
      <w:tr w:rsidR="0050569A" w:rsidRPr="00391389" w14:paraId="20F95ED9" w14:textId="27CDDB21" w:rsidTr="00C12CEA">
        <w:trPr>
          <w:trHeight w:val="394"/>
        </w:trPr>
        <w:tc>
          <w:tcPr>
            <w:tcW w:w="2830" w:type="dxa"/>
          </w:tcPr>
          <w:p w14:paraId="42A5B219" w14:textId="19DF06D6" w:rsidR="00391389" w:rsidRPr="007146A2" w:rsidRDefault="00391389"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b/>
              </w:rPr>
            </w:pPr>
            <w:r w:rsidRPr="007146A2">
              <w:rPr>
                <w:rStyle w:val="ui-provider"/>
                <w:b/>
              </w:rPr>
              <w:t>Compound</w:t>
            </w:r>
          </w:p>
        </w:tc>
        <w:tc>
          <w:tcPr>
            <w:tcW w:w="1146" w:type="dxa"/>
          </w:tcPr>
          <w:p w14:paraId="69AE3941" w14:textId="77777777" w:rsidR="00391389" w:rsidRPr="007146A2" w:rsidRDefault="00391389"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b/>
              </w:rPr>
            </w:pPr>
            <w:r w:rsidRPr="007146A2">
              <w:rPr>
                <w:rStyle w:val="ui-provider"/>
                <w:b/>
              </w:rPr>
              <w:t>CAS#</w:t>
            </w:r>
          </w:p>
        </w:tc>
        <w:tc>
          <w:tcPr>
            <w:tcW w:w="5046" w:type="dxa"/>
          </w:tcPr>
          <w:p w14:paraId="5BD75A16" w14:textId="77777777" w:rsidR="00391389" w:rsidRPr="007146A2" w:rsidRDefault="00391389"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b/>
              </w:rPr>
            </w:pPr>
            <w:r w:rsidRPr="007146A2">
              <w:rPr>
                <w:rStyle w:val="ui-provider"/>
                <w:b/>
              </w:rPr>
              <w:t>Chemical Structure</w:t>
            </w:r>
          </w:p>
        </w:tc>
      </w:tr>
      <w:tr w:rsidR="0050569A" w:rsidRPr="00391389" w14:paraId="48F7A7FF" w14:textId="55E54A25" w:rsidTr="00C12CEA">
        <w:trPr>
          <w:trHeight w:val="404"/>
        </w:trPr>
        <w:tc>
          <w:tcPr>
            <w:tcW w:w="2830" w:type="dxa"/>
          </w:tcPr>
          <w:p w14:paraId="19B8626E" w14:textId="5948F951" w:rsidR="00391389" w:rsidRPr="007146A2" w:rsidRDefault="00D03A0D"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sidRPr="00D03A0D">
              <w:rPr>
                <w:rStyle w:val="ui-provider"/>
              </w:rPr>
              <w:t xml:space="preserve">2,6-Di-tert-butyl-4-methylphenol </w:t>
            </w:r>
            <w:r>
              <w:rPr>
                <w:rStyle w:val="ui-provider"/>
              </w:rPr>
              <w:t>(</w:t>
            </w:r>
            <w:r w:rsidR="00493F95">
              <w:rPr>
                <w:rStyle w:val="ui-provider"/>
              </w:rPr>
              <w:t>BHT</w:t>
            </w:r>
            <w:r>
              <w:rPr>
                <w:rStyle w:val="ui-provider"/>
              </w:rPr>
              <w:t>)</w:t>
            </w:r>
          </w:p>
        </w:tc>
        <w:tc>
          <w:tcPr>
            <w:tcW w:w="1146" w:type="dxa"/>
          </w:tcPr>
          <w:p w14:paraId="51A4E742" w14:textId="57FBE5C1" w:rsidR="00391389" w:rsidRPr="007146A2" w:rsidRDefault="00A83A5C"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sidRPr="008E28AB">
              <w:rPr>
                <w:rStyle w:val="ui-provider"/>
              </w:rPr>
              <w:t>128-37-0</w:t>
            </w:r>
          </w:p>
        </w:tc>
        <w:tc>
          <w:tcPr>
            <w:tcW w:w="5046" w:type="dxa"/>
          </w:tcPr>
          <w:p w14:paraId="3E48ABE3" w14:textId="3CF2520F" w:rsidR="00391389" w:rsidRPr="007146A2" w:rsidRDefault="00520675"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4E13C7">
              <w:rPr>
                <w:noProof/>
              </w:rPr>
              <w:drawing>
                <wp:inline distT="0" distB="0" distL="0" distR="0" wp14:anchorId="3742DA4C" wp14:editId="5EFFD023">
                  <wp:extent cx="787400" cy="646774"/>
                  <wp:effectExtent l="0" t="0" r="0" b="1270"/>
                  <wp:docPr id="16284756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75607"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794054" cy="652240"/>
                          </a:xfrm>
                          <a:prstGeom prst="rect">
                            <a:avLst/>
                          </a:prstGeom>
                        </pic:spPr>
                      </pic:pic>
                    </a:graphicData>
                  </a:graphic>
                </wp:inline>
              </w:drawing>
            </w:r>
          </w:p>
        </w:tc>
      </w:tr>
      <w:tr w:rsidR="0050569A" w:rsidRPr="00391389" w14:paraId="60C39A37" w14:textId="20173E05" w:rsidTr="00C12CEA">
        <w:trPr>
          <w:trHeight w:val="394"/>
        </w:trPr>
        <w:tc>
          <w:tcPr>
            <w:tcW w:w="2830" w:type="dxa"/>
          </w:tcPr>
          <w:p w14:paraId="5FF4B674" w14:textId="41EC0985" w:rsidR="00391389" w:rsidRPr="007146A2" w:rsidRDefault="00493F95"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Erucamide</w:t>
            </w:r>
          </w:p>
        </w:tc>
        <w:tc>
          <w:tcPr>
            <w:tcW w:w="1146" w:type="dxa"/>
          </w:tcPr>
          <w:p w14:paraId="4A0871A8" w14:textId="355DBD83" w:rsidR="00391389" w:rsidRPr="007146A2" w:rsidRDefault="002A2F7E"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sidRPr="002A2F7E">
              <w:rPr>
                <w:rStyle w:val="ui-provider"/>
              </w:rPr>
              <w:t>112-84-5</w:t>
            </w:r>
          </w:p>
        </w:tc>
        <w:tc>
          <w:tcPr>
            <w:tcW w:w="5046" w:type="dxa"/>
          </w:tcPr>
          <w:p w14:paraId="40FD1AFD" w14:textId="0799F3B5" w:rsidR="00391389" w:rsidRPr="007146A2" w:rsidRDefault="002D7B5C"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A63AE1">
              <w:rPr>
                <w:noProof/>
              </w:rPr>
              <w:drawing>
                <wp:inline distT="0" distB="0" distL="0" distR="0" wp14:anchorId="1CD1D3D8" wp14:editId="3D61406D">
                  <wp:extent cx="1981200" cy="720396"/>
                  <wp:effectExtent l="0" t="0" r="0" b="3810"/>
                  <wp:docPr id="17841365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36545"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002825" cy="728259"/>
                          </a:xfrm>
                          <a:prstGeom prst="rect">
                            <a:avLst/>
                          </a:prstGeom>
                        </pic:spPr>
                      </pic:pic>
                    </a:graphicData>
                  </a:graphic>
                </wp:inline>
              </w:drawing>
            </w:r>
          </w:p>
        </w:tc>
      </w:tr>
      <w:tr w:rsidR="0050569A" w:rsidRPr="002F0BEC" w14:paraId="1B0D006B" w14:textId="4384FBB6" w:rsidTr="00C12CEA">
        <w:trPr>
          <w:trHeight w:val="394"/>
        </w:trPr>
        <w:tc>
          <w:tcPr>
            <w:tcW w:w="2830" w:type="dxa"/>
          </w:tcPr>
          <w:p w14:paraId="288D7CB2" w14:textId="40C443D0" w:rsidR="002F0BEC" w:rsidRPr="002F0BEC" w:rsidRDefault="00FC0EAD"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sidRPr="00FC0EAD">
              <w:rPr>
                <w:rStyle w:val="ui-provider"/>
              </w:rPr>
              <w:t xml:space="preserve">3-(3,5-Di-tert-butyl-4-hydroxyphenyl) propanoic </w:t>
            </w:r>
            <w:r w:rsidR="00514964" w:rsidRPr="00FC0EAD">
              <w:rPr>
                <w:rStyle w:val="ui-provider"/>
              </w:rPr>
              <w:t>acid</w:t>
            </w:r>
          </w:p>
        </w:tc>
        <w:tc>
          <w:tcPr>
            <w:tcW w:w="1146" w:type="dxa"/>
          </w:tcPr>
          <w:p w14:paraId="56F56F23" w14:textId="5DB49F24" w:rsidR="002F0BEC" w:rsidRPr="002F0BEC" w:rsidRDefault="00497637"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sidRPr="00497637">
              <w:rPr>
                <w:rStyle w:val="ui-provider"/>
              </w:rPr>
              <w:t>20170-32-5</w:t>
            </w:r>
          </w:p>
        </w:tc>
        <w:tc>
          <w:tcPr>
            <w:tcW w:w="5046" w:type="dxa"/>
          </w:tcPr>
          <w:p w14:paraId="20B56D94" w14:textId="2387468C" w:rsidR="002F0BEC" w:rsidRPr="002F0BEC" w:rsidRDefault="003D0F0D"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Pr>
                <w:rStyle w:val="ui-provider"/>
                <w:noProof/>
              </w:rPr>
              <w:drawing>
                <wp:inline distT="0" distB="0" distL="0" distR="0" wp14:anchorId="025C8453" wp14:editId="314D10F5">
                  <wp:extent cx="1244600" cy="854405"/>
                  <wp:effectExtent l="0" t="0" r="0" b="3175"/>
                  <wp:docPr id="65877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1233" cy="865823"/>
                          </a:xfrm>
                          <a:prstGeom prst="rect">
                            <a:avLst/>
                          </a:prstGeom>
                          <a:noFill/>
                        </pic:spPr>
                      </pic:pic>
                    </a:graphicData>
                  </a:graphic>
                </wp:inline>
              </w:drawing>
            </w:r>
          </w:p>
        </w:tc>
      </w:tr>
      <w:tr w:rsidR="0050569A" w:rsidRPr="002F0BEC" w14:paraId="7FE60FC1" w14:textId="6D305BCD" w:rsidTr="00C12CEA">
        <w:trPr>
          <w:trHeight w:val="394"/>
        </w:trPr>
        <w:tc>
          <w:tcPr>
            <w:tcW w:w="2830" w:type="dxa"/>
          </w:tcPr>
          <w:p w14:paraId="4147ADB4" w14:textId="79C4A640" w:rsidR="002F0BEC" w:rsidRPr="002F0BEC" w:rsidRDefault="00151638"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 xml:space="preserve">4-Tert </w:t>
            </w:r>
            <w:proofErr w:type="spellStart"/>
            <w:r w:rsidR="005C3337">
              <w:rPr>
                <w:rStyle w:val="ui-provider"/>
              </w:rPr>
              <w:t>A</w:t>
            </w:r>
            <w:r>
              <w:rPr>
                <w:rStyle w:val="ui-provider"/>
              </w:rPr>
              <w:t>mylphenol</w:t>
            </w:r>
            <w:proofErr w:type="spellEnd"/>
          </w:p>
        </w:tc>
        <w:tc>
          <w:tcPr>
            <w:tcW w:w="1146" w:type="dxa"/>
          </w:tcPr>
          <w:p w14:paraId="75DF9A2B" w14:textId="2F5FEF3B" w:rsidR="002F0BEC" w:rsidRPr="002F0BEC" w:rsidRDefault="00836351"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sidRPr="00836351">
              <w:rPr>
                <w:rStyle w:val="ui-provider"/>
              </w:rPr>
              <w:t>80-46-6</w:t>
            </w:r>
          </w:p>
        </w:tc>
        <w:tc>
          <w:tcPr>
            <w:tcW w:w="5046" w:type="dxa"/>
          </w:tcPr>
          <w:p w14:paraId="1E2A6446" w14:textId="0F8A4DC8" w:rsidR="002F0BEC" w:rsidRPr="002F0BEC" w:rsidRDefault="00C26B04"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59647E">
              <w:rPr>
                <w:noProof/>
              </w:rPr>
              <w:drawing>
                <wp:inline distT="0" distB="0" distL="0" distR="0" wp14:anchorId="47D69F36" wp14:editId="3D98F320">
                  <wp:extent cx="1022350" cy="541644"/>
                  <wp:effectExtent l="0" t="0" r="6350" b="0"/>
                  <wp:docPr id="1224888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8803"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035400" cy="548558"/>
                          </a:xfrm>
                          <a:prstGeom prst="rect">
                            <a:avLst/>
                          </a:prstGeom>
                        </pic:spPr>
                      </pic:pic>
                    </a:graphicData>
                  </a:graphic>
                </wp:inline>
              </w:drawing>
            </w:r>
          </w:p>
        </w:tc>
      </w:tr>
      <w:tr w:rsidR="0050569A" w:rsidRPr="002F0BEC" w14:paraId="5D77989C" w14:textId="3701DB0A" w:rsidTr="00C12CEA">
        <w:trPr>
          <w:trHeight w:val="394"/>
        </w:trPr>
        <w:tc>
          <w:tcPr>
            <w:tcW w:w="2830" w:type="dxa"/>
          </w:tcPr>
          <w:p w14:paraId="37F751D4" w14:textId="212DEE47" w:rsidR="002F0BEC" w:rsidRPr="002F0BEC" w:rsidRDefault="00C83D87"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Rubber oligomer</w:t>
            </w:r>
            <w:r w:rsidR="00484826">
              <w:rPr>
                <w:rStyle w:val="ui-provider"/>
              </w:rPr>
              <w:t xml:space="preserve"> </w:t>
            </w:r>
            <w:r w:rsidR="00514964" w:rsidRPr="007146A2">
              <w:rPr>
                <w:lang w:val="en-US"/>
              </w:rPr>
              <w:t>C</w:t>
            </w:r>
            <w:r w:rsidR="00514964" w:rsidRPr="007146A2">
              <w:rPr>
                <w:vertAlign w:val="subscript"/>
                <w:lang w:val="en-US"/>
              </w:rPr>
              <w:t>21</w:t>
            </w:r>
            <w:r w:rsidR="00514964" w:rsidRPr="007146A2">
              <w:rPr>
                <w:lang w:val="en-US"/>
              </w:rPr>
              <w:t>H</w:t>
            </w:r>
            <w:r w:rsidR="00514964" w:rsidRPr="007146A2">
              <w:rPr>
                <w:vertAlign w:val="subscript"/>
                <w:lang w:val="en-US"/>
              </w:rPr>
              <w:t>40</w:t>
            </w:r>
          </w:p>
        </w:tc>
        <w:tc>
          <w:tcPr>
            <w:tcW w:w="1146" w:type="dxa"/>
          </w:tcPr>
          <w:p w14:paraId="260B0F74" w14:textId="3AC2A590" w:rsidR="002F0BEC" w:rsidRPr="002F0BEC" w:rsidRDefault="00484826"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sidRPr="00484826">
              <w:rPr>
                <w:rStyle w:val="ui-provider"/>
              </w:rPr>
              <w:t>114123-73-8</w:t>
            </w:r>
          </w:p>
        </w:tc>
        <w:tc>
          <w:tcPr>
            <w:tcW w:w="5046" w:type="dxa"/>
          </w:tcPr>
          <w:p w14:paraId="115C9C07" w14:textId="0EFD0C79" w:rsidR="002F0BEC" w:rsidRPr="002F0BEC" w:rsidRDefault="00950DE1"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D025F3">
              <w:rPr>
                <w:noProof/>
              </w:rPr>
              <w:drawing>
                <wp:inline distT="0" distB="0" distL="0" distR="0" wp14:anchorId="1CD44956" wp14:editId="49879718">
                  <wp:extent cx="1155700" cy="858004"/>
                  <wp:effectExtent l="0" t="0" r="6350" b="0"/>
                  <wp:docPr id="1623270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7032"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175360" cy="872600"/>
                          </a:xfrm>
                          <a:prstGeom prst="rect">
                            <a:avLst/>
                          </a:prstGeom>
                        </pic:spPr>
                      </pic:pic>
                    </a:graphicData>
                  </a:graphic>
                </wp:inline>
              </w:drawing>
            </w:r>
          </w:p>
        </w:tc>
      </w:tr>
      <w:tr w:rsidR="00895BCA" w:rsidRPr="002F0BEC" w14:paraId="72C5A4E9" w14:textId="77777777" w:rsidTr="003F1AAC">
        <w:trPr>
          <w:trHeight w:val="394"/>
        </w:trPr>
        <w:tc>
          <w:tcPr>
            <w:tcW w:w="9022" w:type="dxa"/>
            <w:gridSpan w:val="3"/>
          </w:tcPr>
          <w:p w14:paraId="0532391C" w14:textId="6B6A5272" w:rsidR="00895BCA" w:rsidRDefault="00895BCA"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left"/>
              <w:rPr>
                <w:b/>
                <w:bCs/>
                <w:noProof/>
              </w:rPr>
            </w:pPr>
            <w:r>
              <w:rPr>
                <w:b/>
                <w:bCs/>
                <w:noProof/>
              </w:rPr>
              <w:t>Fatty Acids</w:t>
            </w:r>
          </w:p>
        </w:tc>
      </w:tr>
      <w:tr w:rsidR="0050569A" w:rsidRPr="002F0BEC" w14:paraId="04B50043" w14:textId="77777777" w:rsidTr="00C12CEA">
        <w:trPr>
          <w:trHeight w:val="394"/>
        </w:trPr>
        <w:tc>
          <w:tcPr>
            <w:tcW w:w="2830" w:type="dxa"/>
          </w:tcPr>
          <w:p w14:paraId="65A6C23C" w14:textId="0E2C3A14" w:rsidR="00906D4A" w:rsidRDefault="00645D6C" w:rsidP="00645D6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sidRPr="00645D6C">
              <w:rPr>
                <w:rStyle w:val="ui-provider"/>
              </w:rPr>
              <w:t>Caprylic acid (C8)</w:t>
            </w:r>
          </w:p>
        </w:tc>
        <w:tc>
          <w:tcPr>
            <w:tcW w:w="1146" w:type="dxa"/>
          </w:tcPr>
          <w:p w14:paraId="49766C16" w14:textId="6F215241" w:rsidR="00906D4A" w:rsidRDefault="00645D6C"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pPr>
            <w:r w:rsidRPr="00645D6C">
              <w:rPr>
                <w:rStyle w:val="ui-provider"/>
              </w:rPr>
              <w:t>124-07-5</w:t>
            </w:r>
          </w:p>
        </w:tc>
        <w:tc>
          <w:tcPr>
            <w:tcW w:w="5046" w:type="dxa"/>
          </w:tcPr>
          <w:p w14:paraId="5F1D5E3C" w14:textId="7FF20D61" w:rsidR="00906D4A" w:rsidRDefault="00691261"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b/>
                <w:bCs/>
                <w:noProof/>
              </w:rPr>
            </w:pPr>
            <w:r w:rsidRPr="00575A78">
              <w:rPr>
                <w:b/>
                <w:bCs/>
                <w:noProof/>
              </w:rPr>
              <w:drawing>
                <wp:inline distT="0" distB="0" distL="0" distR="0" wp14:anchorId="03F846DE" wp14:editId="395987EB">
                  <wp:extent cx="1365250" cy="365892"/>
                  <wp:effectExtent l="0" t="0" r="6350" b="0"/>
                  <wp:docPr id="1125792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92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411038" cy="378163"/>
                          </a:xfrm>
                          <a:prstGeom prst="rect">
                            <a:avLst/>
                          </a:prstGeom>
                        </pic:spPr>
                      </pic:pic>
                    </a:graphicData>
                  </a:graphic>
                </wp:inline>
              </w:drawing>
            </w:r>
          </w:p>
        </w:tc>
      </w:tr>
      <w:tr w:rsidR="0050569A" w:rsidRPr="002F0BEC" w14:paraId="3B1AF042" w14:textId="77777777" w:rsidTr="00C12CEA">
        <w:trPr>
          <w:trHeight w:val="394"/>
        </w:trPr>
        <w:tc>
          <w:tcPr>
            <w:tcW w:w="2830" w:type="dxa"/>
          </w:tcPr>
          <w:p w14:paraId="2D0E3897" w14:textId="04DE859F" w:rsidR="00906D4A" w:rsidRDefault="00540FA0" w:rsidP="00DE488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Nonanoic acid (C9)</w:t>
            </w:r>
          </w:p>
        </w:tc>
        <w:tc>
          <w:tcPr>
            <w:tcW w:w="1146" w:type="dxa"/>
          </w:tcPr>
          <w:p w14:paraId="159DD5B2" w14:textId="5F7AFD81" w:rsidR="00906D4A" w:rsidRDefault="00540FA0"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pPr>
            <w:r>
              <w:rPr>
                <w:rStyle w:val="ui-provider"/>
              </w:rPr>
              <w:t>112-05-0</w:t>
            </w:r>
          </w:p>
        </w:tc>
        <w:tc>
          <w:tcPr>
            <w:tcW w:w="5046" w:type="dxa"/>
          </w:tcPr>
          <w:p w14:paraId="631BC329" w14:textId="767A38CC" w:rsidR="00906D4A" w:rsidRDefault="00D0164B"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b/>
                <w:bCs/>
                <w:noProof/>
              </w:rPr>
            </w:pPr>
            <w:r w:rsidRPr="005C2C79">
              <w:rPr>
                <w:b/>
                <w:bCs/>
                <w:noProof/>
              </w:rPr>
              <w:drawing>
                <wp:inline distT="0" distB="0" distL="0" distR="0" wp14:anchorId="49E1DB07" wp14:editId="399D88A5">
                  <wp:extent cx="1568450" cy="377951"/>
                  <wp:effectExtent l="0" t="0" r="0" b="3175"/>
                  <wp:docPr id="7155746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4698"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616600" cy="389554"/>
                          </a:xfrm>
                          <a:prstGeom prst="rect">
                            <a:avLst/>
                          </a:prstGeom>
                        </pic:spPr>
                      </pic:pic>
                    </a:graphicData>
                  </a:graphic>
                </wp:inline>
              </w:drawing>
            </w:r>
          </w:p>
        </w:tc>
      </w:tr>
      <w:tr w:rsidR="0050569A" w:rsidRPr="002F0BEC" w14:paraId="1F3E2E4B" w14:textId="77777777" w:rsidTr="00C12CEA">
        <w:trPr>
          <w:trHeight w:val="394"/>
        </w:trPr>
        <w:tc>
          <w:tcPr>
            <w:tcW w:w="2830" w:type="dxa"/>
          </w:tcPr>
          <w:p w14:paraId="604A98C7" w14:textId="33BC78D0" w:rsidR="00895BCA" w:rsidRDefault="00895BCA" w:rsidP="00DE488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lastRenderedPageBreak/>
              <w:t>Capric acid (</w:t>
            </w:r>
            <w:r w:rsidR="007B0277">
              <w:rPr>
                <w:rStyle w:val="ui-provider"/>
              </w:rPr>
              <w:t>C10)</w:t>
            </w:r>
          </w:p>
        </w:tc>
        <w:tc>
          <w:tcPr>
            <w:tcW w:w="1146" w:type="dxa"/>
          </w:tcPr>
          <w:p w14:paraId="28D3E662" w14:textId="3F4A11DD" w:rsidR="00895BCA" w:rsidRDefault="003A74E4"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334-48-5</w:t>
            </w:r>
          </w:p>
        </w:tc>
        <w:tc>
          <w:tcPr>
            <w:tcW w:w="5046" w:type="dxa"/>
          </w:tcPr>
          <w:p w14:paraId="6439FA24" w14:textId="26E3B385" w:rsidR="00895BCA" w:rsidRDefault="000B5F2A"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b/>
                <w:bCs/>
                <w:noProof/>
              </w:rPr>
            </w:pPr>
            <w:r w:rsidRPr="005C2C79">
              <w:rPr>
                <w:b/>
                <w:bCs/>
                <w:noProof/>
              </w:rPr>
              <w:drawing>
                <wp:inline distT="0" distB="0" distL="0" distR="0" wp14:anchorId="086AAFFD" wp14:editId="68FE2297">
                  <wp:extent cx="1657350" cy="362833"/>
                  <wp:effectExtent l="0" t="0" r="0" b="0"/>
                  <wp:docPr id="7414296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29693"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1746259" cy="382297"/>
                          </a:xfrm>
                          <a:prstGeom prst="rect">
                            <a:avLst/>
                          </a:prstGeom>
                        </pic:spPr>
                      </pic:pic>
                    </a:graphicData>
                  </a:graphic>
                </wp:inline>
              </w:drawing>
            </w:r>
          </w:p>
        </w:tc>
      </w:tr>
      <w:tr w:rsidR="0050569A" w:rsidRPr="002F0BEC" w14:paraId="628EF752" w14:textId="0AE445E5" w:rsidTr="00C12CEA">
        <w:trPr>
          <w:trHeight w:val="394"/>
        </w:trPr>
        <w:tc>
          <w:tcPr>
            <w:tcW w:w="2830" w:type="dxa"/>
          </w:tcPr>
          <w:p w14:paraId="50267B34" w14:textId="54CCA202" w:rsidR="002F0BEC" w:rsidRPr="002F0BEC" w:rsidRDefault="000B0EE0" w:rsidP="00DE488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Lauric acid</w:t>
            </w:r>
            <w:r w:rsidR="00DE488C">
              <w:rPr>
                <w:rStyle w:val="ui-provider"/>
              </w:rPr>
              <w:t xml:space="preserve"> (C12)</w:t>
            </w:r>
          </w:p>
        </w:tc>
        <w:tc>
          <w:tcPr>
            <w:tcW w:w="1146" w:type="dxa"/>
          </w:tcPr>
          <w:p w14:paraId="6F514E42" w14:textId="5E20F05D" w:rsidR="002F0BEC" w:rsidRPr="002F0BEC" w:rsidRDefault="00041973"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t>57-10-3</w:t>
            </w:r>
          </w:p>
        </w:tc>
        <w:tc>
          <w:tcPr>
            <w:tcW w:w="5046" w:type="dxa"/>
          </w:tcPr>
          <w:p w14:paraId="1D34280C" w14:textId="6C2D1A91" w:rsidR="002F0BEC" w:rsidRPr="002F0BEC" w:rsidRDefault="004C16A8"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0009FB">
              <w:rPr>
                <w:b/>
                <w:bCs/>
                <w:noProof/>
              </w:rPr>
              <w:drawing>
                <wp:inline distT="0" distB="0" distL="0" distR="0" wp14:anchorId="19611D98" wp14:editId="01FE4355">
                  <wp:extent cx="1968500" cy="364214"/>
                  <wp:effectExtent l="0" t="0" r="0" b="0"/>
                  <wp:docPr id="7194119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1985"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049695" cy="379237"/>
                          </a:xfrm>
                          <a:prstGeom prst="rect">
                            <a:avLst/>
                          </a:prstGeom>
                        </pic:spPr>
                      </pic:pic>
                    </a:graphicData>
                  </a:graphic>
                </wp:inline>
              </w:drawing>
            </w:r>
          </w:p>
        </w:tc>
      </w:tr>
      <w:tr w:rsidR="0050569A" w:rsidRPr="002F0BEC" w14:paraId="6E36DD73" w14:textId="77777777" w:rsidTr="00C12CEA">
        <w:trPr>
          <w:trHeight w:val="394"/>
        </w:trPr>
        <w:tc>
          <w:tcPr>
            <w:tcW w:w="2830" w:type="dxa"/>
          </w:tcPr>
          <w:p w14:paraId="7B00834E" w14:textId="40FEB9DF" w:rsidR="000B0EE0" w:rsidRDefault="003C7D6E" w:rsidP="00501E2A">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Myristic acid</w:t>
            </w:r>
            <w:r w:rsidR="00DE488C">
              <w:rPr>
                <w:rStyle w:val="ui-provider"/>
              </w:rPr>
              <w:t xml:space="preserve"> (C14)</w:t>
            </w:r>
          </w:p>
        </w:tc>
        <w:tc>
          <w:tcPr>
            <w:tcW w:w="1146" w:type="dxa"/>
          </w:tcPr>
          <w:p w14:paraId="5DBA4943" w14:textId="4C36439B" w:rsidR="000B0EE0" w:rsidRPr="002F0BEC" w:rsidRDefault="00502FBA"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t>544-63-8</w:t>
            </w:r>
          </w:p>
        </w:tc>
        <w:tc>
          <w:tcPr>
            <w:tcW w:w="5046" w:type="dxa"/>
          </w:tcPr>
          <w:p w14:paraId="4E9967FB" w14:textId="23B034AD" w:rsidR="000B0EE0" w:rsidRPr="002F0BEC" w:rsidRDefault="002A2986"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0009FB">
              <w:rPr>
                <w:b/>
                <w:bCs/>
                <w:noProof/>
              </w:rPr>
              <w:drawing>
                <wp:inline distT="0" distB="0" distL="0" distR="0" wp14:anchorId="39E18BF7" wp14:editId="269CD3A1">
                  <wp:extent cx="2165350" cy="346898"/>
                  <wp:effectExtent l="0" t="0" r="6350" b="0"/>
                  <wp:docPr id="839790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90303"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2274701" cy="364416"/>
                          </a:xfrm>
                          <a:prstGeom prst="rect">
                            <a:avLst/>
                          </a:prstGeom>
                        </pic:spPr>
                      </pic:pic>
                    </a:graphicData>
                  </a:graphic>
                </wp:inline>
              </w:drawing>
            </w:r>
          </w:p>
        </w:tc>
      </w:tr>
      <w:tr w:rsidR="0050569A" w:rsidRPr="002F0BEC" w14:paraId="67B17B5D" w14:textId="77777777" w:rsidTr="00C12CEA">
        <w:trPr>
          <w:trHeight w:val="394"/>
        </w:trPr>
        <w:tc>
          <w:tcPr>
            <w:tcW w:w="2830" w:type="dxa"/>
          </w:tcPr>
          <w:p w14:paraId="07FC1A9E" w14:textId="70D83761" w:rsidR="00DE488C" w:rsidRDefault="00DE488C" w:rsidP="00501E2A">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Palmitic acid (</w:t>
            </w:r>
            <w:r w:rsidR="00D776B5">
              <w:rPr>
                <w:rStyle w:val="ui-provider"/>
              </w:rPr>
              <w:t>C16)</w:t>
            </w:r>
          </w:p>
        </w:tc>
        <w:tc>
          <w:tcPr>
            <w:tcW w:w="1146" w:type="dxa"/>
          </w:tcPr>
          <w:p w14:paraId="6D95C8E8" w14:textId="540AD08A" w:rsidR="00DE488C" w:rsidRPr="002F0BEC" w:rsidRDefault="00AD1B4E"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t>57-10-3</w:t>
            </w:r>
          </w:p>
        </w:tc>
        <w:tc>
          <w:tcPr>
            <w:tcW w:w="5046" w:type="dxa"/>
          </w:tcPr>
          <w:p w14:paraId="26495E40" w14:textId="760D5FE3" w:rsidR="00DE488C" w:rsidRPr="002F0BEC" w:rsidRDefault="007F032A"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661030">
              <w:rPr>
                <w:b/>
                <w:bCs/>
                <w:noProof/>
              </w:rPr>
              <w:drawing>
                <wp:inline distT="0" distB="0" distL="0" distR="0" wp14:anchorId="7A248D49" wp14:editId="74B8C887">
                  <wp:extent cx="2609850" cy="368376"/>
                  <wp:effectExtent l="0" t="0" r="0" b="0"/>
                  <wp:docPr id="18324608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60824"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736140" cy="386202"/>
                          </a:xfrm>
                          <a:prstGeom prst="rect">
                            <a:avLst/>
                          </a:prstGeom>
                        </pic:spPr>
                      </pic:pic>
                    </a:graphicData>
                  </a:graphic>
                </wp:inline>
              </w:drawing>
            </w:r>
          </w:p>
        </w:tc>
      </w:tr>
      <w:tr w:rsidR="0050569A" w:rsidRPr="002F0BEC" w14:paraId="25700378" w14:textId="77777777" w:rsidTr="00C12CEA">
        <w:trPr>
          <w:trHeight w:val="394"/>
        </w:trPr>
        <w:tc>
          <w:tcPr>
            <w:tcW w:w="2830" w:type="dxa"/>
          </w:tcPr>
          <w:p w14:paraId="652BC796" w14:textId="2B3A51B3" w:rsidR="00DE488C" w:rsidRDefault="00DE488C" w:rsidP="00501E2A">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Stearic acid</w:t>
            </w:r>
            <w:r w:rsidR="00D776B5">
              <w:rPr>
                <w:rStyle w:val="ui-provider"/>
              </w:rPr>
              <w:t xml:space="preserve"> (C18)</w:t>
            </w:r>
          </w:p>
        </w:tc>
        <w:tc>
          <w:tcPr>
            <w:tcW w:w="1146" w:type="dxa"/>
          </w:tcPr>
          <w:p w14:paraId="5B94B55C" w14:textId="640BD6BB" w:rsidR="00DE488C" w:rsidRPr="002F0BEC" w:rsidRDefault="00D16574"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t>57-11-4</w:t>
            </w:r>
          </w:p>
        </w:tc>
        <w:tc>
          <w:tcPr>
            <w:tcW w:w="5046" w:type="dxa"/>
          </w:tcPr>
          <w:p w14:paraId="72FE6B87" w14:textId="624EEFFB" w:rsidR="00DE488C" w:rsidRPr="002F0BEC" w:rsidRDefault="0050569A"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661030">
              <w:rPr>
                <w:b/>
                <w:bCs/>
                <w:noProof/>
              </w:rPr>
              <w:drawing>
                <wp:inline distT="0" distB="0" distL="0" distR="0" wp14:anchorId="09596826" wp14:editId="600DD82A">
                  <wp:extent cx="2787650" cy="351468"/>
                  <wp:effectExtent l="0" t="0" r="0" b="0"/>
                  <wp:docPr id="10726261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26169"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835694" cy="357525"/>
                          </a:xfrm>
                          <a:prstGeom prst="rect">
                            <a:avLst/>
                          </a:prstGeom>
                        </pic:spPr>
                      </pic:pic>
                    </a:graphicData>
                  </a:graphic>
                </wp:inline>
              </w:drawing>
            </w:r>
          </w:p>
        </w:tc>
      </w:tr>
      <w:tr w:rsidR="0050569A" w:rsidRPr="002F0BEC" w14:paraId="5976E258" w14:textId="77777777" w:rsidTr="00C12CEA">
        <w:trPr>
          <w:trHeight w:val="394"/>
        </w:trPr>
        <w:tc>
          <w:tcPr>
            <w:tcW w:w="2830" w:type="dxa"/>
          </w:tcPr>
          <w:p w14:paraId="310EF349" w14:textId="08F478CE" w:rsidR="00DE488C" w:rsidRDefault="00DE488C" w:rsidP="00501E2A">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Pr>
                <w:rStyle w:val="ui-provider"/>
              </w:rPr>
              <w:t>Oleic acid</w:t>
            </w:r>
            <w:r w:rsidR="00D776B5">
              <w:rPr>
                <w:rStyle w:val="ui-provider"/>
              </w:rPr>
              <w:t xml:space="preserve"> (C18)</w:t>
            </w:r>
          </w:p>
        </w:tc>
        <w:tc>
          <w:tcPr>
            <w:tcW w:w="1146" w:type="dxa"/>
          </w:tcPr>
          <w:p w14:paraId="2597F5C9" w14:textId="1D4B799E" w:rsidR="00DE488C" w:rsidRPr="002F0BEC" w:rsidRDefault="001C3559"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r w:rsidRPr="0008009D">
              <w:t>112-80-1</w:t>
            </w:r>
          </w:p>
        </w:tc>
        <w:tc>
          <w:tcPr>
            <w:tcW w:w="5046" w:type="dxa"/>
          </w:tcPr>
          <w:p w14:paraId="51BCF7AF" w14:textId="05F1137E" w:rsidR="00DE488C" w:rsidRPr="002F0BEC" w:rsidRDefault="00A22C02"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rStyle w:val="ui-provider"/>
              </w:rPr>
            </w:pPr>
            <w:r w:rsidRPr="000239D5">
              <w:rPr>
                <w:b/>
                <w:bCs/>
                <w:noProof/>
              </w:rPr>
              <w:drawing>
                <wp:inline distT="0" distB="0" distL="0" distR="0" wp14:anchorId="0C856D31" wp14:editId="55F94AC8">
                  <wp:extent cx="2190750" cy="713098"/>
                  <wp:effectExtent l="0" t="0" r="0" b="0"/>
                  <wp:docPr id="9330997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99743"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258637" cy="735195"/>
                          </a:xfrm>
                          <a:prstGeom prst="rect">
                            <a:avLst/>
                          </a:prstGeom>
                        </pic:spPr>
                      </pic:pic>
                    </a:graphicData>
                  </a:graphic>
                </wp:inline>
              </w:drawing>
            </w:r>
          </w:p>
        </w:tc>
      </w:tr>
      <w:tr w:rsidR="0050569A" w:rsidRPr="002F0BEC" w14:paraId="7F7708DB" w14:textId="77777777" w:rsidTr="00C12CEA">
        <w:trPr>
          <w:trHeight w:val="394"/>
        </w:trPr>
        <w:tc>
          <w:tcPr>
            <w:tcW w:w="2830" w:type="dxa"/>
          </w:tcPr>
          <w:p w14:paraId="003E32C2" w14:textId="68A93FDC" w:rsidR="009D29F3" w:rsidRDefault="00CC2A1B" w:rsidP="00501E2A">
            <w:pPr>
              <w:pStyle w:val="ICHTextOnly"/>
              <w:pBdr>
                <w:top w:val="none" w:sz="0" w:space="0" w:color="auto"/>
                <w:left w:val="none" w:sz="0" w:space="0" w:color="auto"/>
                <w:bottom w:val="none" w:sz="0" w:space="0" w:color="auto"/>
                <w:right w:val="none" w:sz="0" w:space="0" w:color="auto"/>
                <w:between w:val="none" w:sz="0" w:space="0" w:color="auto"/>
                <w:bar w:val="none" w:sz="0" w:color="auto"/>
              </w:pBdr>
              <w:rPr>
                <w:rStyle w:val="ui-provider"/>
              </w:rPr>
            </w:pPr>
            <w:proofErr w:type="spellStart"/>
            <w:r>
              <w:rPr>
                <w:rStyle w:val="ui-provider"/>
              </w:rPr>
              <w:t>Docosanoic</w:t>
            </w:r>
            <w:proofErr w:type="spellEnd"/>
            <w:r>
              <w:rPr>
                <w:rStyle w:val="ui-provider"/>
              </w:rPr>
              <w:t xml:space="preserve"> acid (C22)</w:t>
            </w:r>
          </w:p>
        </w:tc>
        <w:tc>
          <w:tcPr>
            <w:tcW w:w="1146" w:type="dxa"/>
          </w:tcPr>
          <w:p w14:paraId="6D2DE456" w14:textId="607540F1" w:rsidR="009D29F3" w:rsidRPr="0008009D" w:rsidRDefault="00CC2A1B" w:rsidP="002F0BEC">
            <w:pPr>
              <w:pStyle w:val="ICHTextOnly"/>
              <w:pBdr>
                <w:top w:val="none" w:sz="0" w:space="0" w:color="auto"/>
                <w:left w:val="none" w:sz="0" w:space="0" w:color="auto"/>
                <w:bottom w:val="none" w:sz="0" w:space="0" w:color="auto"/>
                <w:right w:val="none" w:sz="0" w:space="0" w:color="auto"/>
                <w:between w:val="none" w:sz="0" w:space="0" w:color="auto"/>
                <w:bar w:val="none" w:sz="0" w:color="auto"/>
              </w:pBdr>
            </w:pPr>
            <w:r>
              <w:rPr>
                <w:rStyle w:val="ui-provider"/>
              </w:rPr>
              <w:t>112-85-6</w:t>
            </w:r>
          </w:p>
        </w:tc>
        <w:tc>
          <w:tcPr>
            <w:tcW w:w="5046" w:type="dxa"/>
          </w:tcPr>
          <w:p w14:paraId="149DA95D" w14:textId="53766146" w:rsidR="009D29F3" w:rsidRDefault="00C12CEA" w:rsidP="00B074DE">
            <w:pPr>
              <w:pStyle w:val="ICHTextOnly"/>
              <w:pBdr>
                <w:top w:val="none" w:sz="0" w:space="0" w:color="auto"/>
                <w:left w:val="none" w:sz="0" w:space="0" w:color="auto"/>
                <w:bottom w:val="none" w:sz="0" w:space="0" w:color="auto"/>
                <w:right w:val="none" w:sz="0" w:space="0" w:color="auto"/>
                <w:between w:val="none" w:sz="0" w:space="0" w:color="auto"/>
                <w:bar w:val="none" w:sz="0" w:color="auto"/>
              </w:pBdr>
              <w:jc w:val="center"/>
              <w:rPr>
                <w:b/>
                <w:bCs/>
                <w:noProof/>
              </w:rPr>
            </w:pPr>
            <w:r w:rsidRPr="000239D5">
              <w:rPr>
                <w:b/>
                <w:bCs/>
                <w:noProof/>
              </w:rPr>
              <w:drawing>
                <wp:inline distT="0" distB="0" distL="0" distR="0" wp14:anchorId="7F7EAC51" wp14:editId="387C0D53">
                  <wp:extent cx="3067050" cy="319074"/>
                  <wp:effectExtent l="0" t="0" r="0" b="5080"/>
                  <wp:docPr id="5190844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84421"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3134526" cy="326094"/>
                          </a:xfrm>
                          <a:prstGeom prst="rect">
                            <a:avLst/>
                          </a:prstGeom>
                        </pic:spPr>
                      </pic:pic>
                    </a:graphicData>
                  </a:graphic>
                </wp:inline>
              </w:drawing>
            </w:r>
          </w:p>
        </w:tc>
      </w:tr>
    </w:tbl>
    <w:p w14:paraId="2A553219" w14:textId="77777777" w:rsidR="00391389" w:rsidRDefault="00391389" w:rsidP="00366504">
      <w:pPr>
        <w:pStyle w:val="ICHTextOnly"/>
        <w:rPr>
          <w:rStyle w:val="ui-provider"/>
          <w:highlight w:val="yellow"/>
        </w:rPr>
      </w:pPr>
    </w:p>
    <w:p w14:paraId="6AB38FA2" w14:textId="42F1C821" w:rsidR="00405E8C" w:rsidRDefault="00405E8C">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b/>
          <w:bCs/>
          <w:sz w:val="24"/>
          <w:szCs w:val="24"/>
        </w:rPr>
      </w:pPr>
      <w:r>
        <w:rPr>
          <w:b/>
          <w:bCs/>
        </w:rPr>
        <w:br w:type="page"/>
      </w:r>
    </w:p>
    <w:p w14:paraId="573058A4" w14:textId="345E8461" w:rsidR="00506F09" w:rsidRDefault="00506F09" w:rsidP="007737C1">
      <w:pPr>
        <w:pStyle w:val="Heading1"/>
        <w:numPr>
          <w:ilvl w:val="0"/>
          <w:numId w:val="0"/>
        </w:numPr>
      </w:pPr>
      <w:bookmarkStart w:id="45" w:name="_Toc201662534"/>
      <w:r w:rsidRPr="00514883">
        <w:lastRenderedPageBreak/>
        <w:t xml:space="preserve">Appendix </w:t>
      </w:r>
      <w:r>
        <w:t>5</w:t>
      </w:r>
      <w:r w:rsidR="007737C1">
        <w:t>:</w:t>
      </w:r>
      <w:r>
        <w:t xml:space="preserve"> Methods for Establishing Exposure Limits</w:t>
      </w:r>
      <w:bookmarkEnd w:id="45"/>
    </w:p>
    <w:p w14:paraId="10CCEE33" w14:textId="244553D1" w:rsidR="00506F09" w:rsidRDefault="00506F09" w:rsidP="00506F09">
      <w:pPr>
        <w:pStyle w:val="ICHTextOnly"/>
        <w:rPr>
          <w:b/>
          <w:bCs/>
        </w:rPr>
      </w:pPr>
      <w:r>
        <w:rPr>
          <w:b/>
          <w:bCs/>
        </w:rPr>
        <w:t>Background</w:t>
      </w:r>
    </w:p>
    <w:p w14:paraId="762B8EAA" w14:textId="34CC6F26" w:rsidR="0001210F" w:rsidRPr="0001210F" w:rsidRDefault="0001210F" w:rsidP="0001210F">
      <w:pPr>
        <w:pStyle w:val="ICHTextOnly"/>
      </w:pPr>
      <w:r w:rsidRPr="0001210F">
        <w:t xml:space="preserve">For Class 1 leachables and Class 2/3 leachables exceeding their applicable safety threshold as defined in this guideline, further safety assessment is </w:t>
      </w:r>
      <w:r w:rsidR="00F05DB7">
        <w:t>performed</w:t>
      </w:r>
      <w:r w:rsidRPr="0001210F">
        <w:t xml:space="preserve"> to establish the potential risk associated with exposure to these leachables when a patient is administered a specific drug product. Permitted Daily Exposure (PDE) values intended to support safe exposure to a compound in any drug product are not currently established for the vast majority of potential leachables. Furthermore, due to the varied nature of currently available drug products and the complexity of extractables and leachables </w:t>
      </w:r>
      <w:r w:rsidR="00BC4846">
        <w:t xml:space="preserve">safety </w:t>
      </w:r>
      <w:r w:rsidRPr="0001210F" w:rsidDel="0017486F">
        <w:t xml:space="preserve">risk </w:t>
      </w:r>
      <w:r w:rsidRPr="0001210F">
        <w:t>assessment, a one size fits all approach, such as an established PDE, is not always most pertinent.  Although the focus of this guideline is not on the generation of acceptable exposure levels for individual compounds, the need for compound-specific limits on a product-by-product basis may commonly arise.  Therefore, this appendix provides guidance to appropriately establishing the safety of leachables for a variety of drug product types and administration scenarios using a risk-based approach.</w:t>
      </w:r>
    </w:p>
    <w:p w14:paraId="000D1103" w14:textId="77777777" w:rsidR="0001210F" w:rsidRPr="0001210F" w:rsidRDefault="0001210F" w:rsidP="0001210F">
      <w:pPr>
        <w:pStyle w:val="ICHTextOnly"/>
      </w:pPr>
    </w:p>
    <w:p w14:paraId="1052604E" w14:textId="77777777" w:rsidR="0001210F" w:rsidRPr="0001210F" w:rsidRDefault="0001210F" w:rsidP="0001210F">
      <w:pPr>
        <w:pStyle w:val="ICHTextOnly"/>
      </w:pPr>
      <w:r w:rsidRPr="0001210F">
        <w:t>The extent of the information considered sufficient to conclude on the acceptability of potential patient exposure levels for a leachable may vary extensively and there are multiple methodologies which may be employed to establish this acceptability.  The most straight-forward methodology is to employ already established safe exposure levels which have conservatively assumed worst scenarios.  Thus, when there is an established PDE in an available ICH guidance (e.g., Q3C or M7) it is sufficient to refer to this value assuming all requisite considerations are met. Alternatively, an acceptable exposure derived using similar methodologies and scientific principles as previously established in such guidelines may be deemed more applicable or necessary.  In still other scenarios, the dose ratio between a well-defined, supported and justified NOAEL and the anticipated patient exposure may be so large (e.g., &gt;10,000) that a detailed derivation may not be necessary.</w:t>
      </w:r>
    </w:p>
    <w:p w14:paraId="43455D5D" w14:textId="77777777" w:rsidR="0001210F" w:rsidRPr="0001210F" w:rsidRDefault="0001210F" w:rsidP="0001210F">
      <w:pPr>
        <w:pStyle w:val="ICHTextOnly"/>
      </w:pPr>
    </w:p>
    <w:p w14:paraId="584E4850" w14:textId="7BC7E074" w:rsidR="0001210F" w:rsidRDefault="0001210F" w:rsidP="0001210F">
      <w:pPr>
        <w:pStyle w:val="ICHTextOnly"/>
      </w:pPr>
      <w:r w:rsidRPr="0001210F">
        <w:t xml:space="preserve">Though in certain circumstances, </w:t>
      </w:r>
      <w:r w:rsidRPr="00C41BC5">
        <w:rPr>
          <w:i/>
          <w:iCs/>
        </w:rPr>
        <w:t>in vitro</w:t>
      </w:r>
      <w:r w:rsidRPr="0001210F">
        <w:t xml:space="preserve"> and/or </w:t>
      </w:r>
      <w:r w:rsidRPr="00C41BC5">
        <w:rPr>
          <w:i/>
          <w:iCs/>
        </w:rPr>
        <w:t>in vivo</w:t>
      </w:r>
      <w:r w:rsidRPr="0001210F">
        <w:t xml:space="preserve"> studies (as a last resort) may be deemed necessary to establish an acceptable exposure level, scientific justification (if applicable) via available </w:t>
      </w:r>
      <w:r w:rsidRPr="009B60BD">
        <w:rPr>
          <w:i/>
          <w:iCs/>
        </w:rPr>
        <w:t>in silico</w:t>
      </w:r>
      <w:r w:rsidRPr="0001210F">
        <w:t xml:space="preserve"> analyses and through read across to similar compounds (i.e., surrogate compound[s]) is encouraged to establish acceptable exposure levels.  </w:t>
      </w:r>
    </w:p>
    <w:p w14:paraId="7EC49349" w14:textId="77777777" w:rsidR="0001210F" w:rsidRPr="0001210F" w:rsidRDefault="0001210F" w:rsidP="0001210F">
      <w:pPr>
        <w:pStyle w:val="ICHTextOnly"/>
      </w:pPr>
    </w:p>
    <w:p w14:paraId="4E390E69" w14:textId="1967C723" w:rsidR="0001210F" w:rsidRPr="0001210F" w:rsidRDefault="0001210F" w:rsidP="0001210F">
      <w:pPr>
        <w:pStyle w:val="ICHTextOnly"/>
      </w:pPr>
      <w:r w:rsidRPr="0001210F">
        <w:t xml:space="preserve">Although a variety of </w:t>
      </w:r>
      <w:r w:rsidRPr="009B60BD">
        <w:rPr>
          <w:i/>
          <w:iCs/>
        </w:rPr>
        <w:t>in silico</w:t>
      </w:r>
      <w:r w:rsidRPr="0001210F">
        <w:t xml:space="preserve"> toxicological tools are available, mutagenicity is the only </w:t>
      </w:r>
      <w:r w:rsidRPr="0001210F">
        <w:lastRenderedPageBreak/>
        <w:t xml:space="preserve">toxicological endpoint for which such an appropriately conducted evaluation is currently well-established for stand-alone use in lieu of biological data within the context of this guideline (see ICH M7).  However, with appropriate scientific justification, predictions of other toxicological endpoints using </w:t>
      </w:r>
      <w:r w:rsidRPr="00C41BC5">
        <w:rPr>
          <w:i/>
          <w:iCs/>
        </w:rPr>
        <w:t>in silico</w:t>
      </w:r>
      <w:r w:rsidRPr="0001210F">
        <w:t xml:space="preserve">, </w:t>
      </w:r>
      <w:r w:rsidRPr="00C41BC5">
        <w:rPr>
          <w:i/>
          <w:iCs/>
        </w:rPr>
        <w:t>in vitro</w:t>
      </w:r>
      <w:r w:rsidRPr="0001210F">
        <w:t xml:space="preserve">, or </w:t>
      </w:r>
      <w:r w:rsidRPr="00C41BC5">
        <w:rPr>
          <w:i/>
          <w:iCs/>
        </w:rPr>
        <w:t>in vivo</w:t>
      </w:r>
      <w:r w:rsidRPr="0001210F">
        <w:t xml:space="preserve"> models should be incorporated into the </w:t>
      </w:r>
      <w:r w:rsidR="006B2DAE">
        <w:t>safety</w:t>
      </w:r>
      <w:r w:rsidRPr="0001210F" w:rsidDel="0017486F">
        <w:t xml:space="preserve"> risk</w:t>
      </w:r>
      <w:r w:rsidRPr="0001210F">
        <w:t xml:space="preserve"> assessment to supplement any existing data in a weight-of-evidence risk</w:t>
      </w:r>
      <w:r w:rsidR="006031D7">
        <w:t>-based</w:t>
      </w:r>
      <w:r w:rsidR="003551E9">
        <w:t xml:space="preserve"> </w:t>
      </w:r>
      <w:r w:rsidRPr="0001210F">
        <w:t xml:space="preserve">approach. Within each of these categories, greater priority should be given to data from validated models that account for the relevant exposure route(s). </w:t>
      </w:r>
    </w:p>
    <w:p w14:paraId="7DEABAD1" w14:textId="77777777" w:rsidR="0001210F" w:rsidRPr="0001210F" w:rsidRDefault="0001210F" w:rsidP="0001210F">
      <w:pPr>
        <w:pStyle w:val="ICHTextOnly"/>
      </w:pPr>
    </w:p>
    <w:p w14:paraId="310DDA9D" w14:textId="4213ED3E" w:rsidR="0001210F" w:rsidRPr="0001210F" w:rsidRDefault="0001210F" w:rsidP="0001210F">
      <w:pPr>
        <w:pStyle w:val="ICHTextOnly"/>
      </w:pPr>
      <w:r w:rsidRPr="0001210F">
        <w:t xml:space="preserve">Due to the limited nature or even lack of toxicological datasets for a large number of potential leachables, a read-across approach may also be incorporated. In a read-across approach, toxicological data for a surrogate compound (or multiple surrogates) with pertinent toxicological data are used to support the safety assessment of a leachable of interest either as part of a weight-of-evidence approach or in lieu of data for the leachable of interest when none is available. </w:t>
      </w:r>
      <w:r w:rsidR="006031D7">
        <w:t>Safety</w:t>
      </w:r>
      <w:r w:rsidR="0017486F" w:rsidRPr="0001210F">
        <w:t xml:space="preserve"> </w:t>
      </w:r>
      <w:r w:rsidRPr="0001210F">
        <w:t>assessments incorporating a surrogate compound should provide clear justification for the selection of the surrogate(s). There are various attributes that should be considered (if known) during the selection of a suitable surrogate, including mode of action, the princip</w:t>
      </w:r>
      <w:r w:rsidR="00E60D9F">
        <w:t>a</w:t>
      </w:r>
      <w:r w:rsidRPr="0001210F">
        <w:t xml:space="preserve">l </w:t>
      </w:r>
      <w:proofErr w:type="spellStart"/>
      <w:r w:rsidRPr="0001210F">
        <w:t>toxicophore</w:t>
      </w:r>
      <w:proofErr w:type="spellEnd"/>
      <w:r w:rsidRPr="0001210F">
        <w:t xml:space="preserve"> and surrounding chemical environment (e.g., presence of functional groups that may impact biological activity), overall structural similarity, toxicokinetic properties, physicochemical properties (e.g., polarity, solubility, ionizability, and molecular weight). When properly justified, </w:t>
      </w:r>
      <w:r w:rsidRPr="00A36BA5">
        <w:rPr>
          <w:i/>
          <w:iCs/>
        </w:rPr>
        <w:t>in silico</w:t>
      </w:r>
      <w:r w:rsidRPr="0001210F">
        <w:t xml:space="preserve"> tools and data from NAM</w:t>
      </w:r>
      <w:r w:rsidR="009A77F4">
        <w:t>s</w:t>
      </w:r>
      <w:r w:rsidRPr="0001210F">
        <w:t xml:space="preserve"> may be used to support the selection of surrogates and inform the read-across approach, but the above-mentioned criteria need to be considered. How a surrogate is incorporated into the safety assessment for the leachable of interest should be scientifically justified. Potential uncertainties related to the read-across approach should also be indicated and appropriately accounted for, such as when using for an acceptable exposure level determination (see F7 discussion below).</w:t>
      </w:r>
    </w:p>
    <w:p w14:paraId="7B888815" w14:textId="77777777" w:rsidR="0001210F" w:rsidRPr="0001210F" w:rsidRDefault="0001210F" w:rsidP="0001210F">
      <w:pPr>
        <w:pStyle w:val="ICHTextOnly"/>
      </w:pPr>
    </w:p>
    <w:p w14:paraId="3FD97FAC" w14:textId="77777777" w:rsidR="0001210F" w:rsidRPr="0001210F" w:rsidRDefault="0001210F" w:rsidP="0001210F">
      <w:pPr>
        <w:pStyle w:val="ICHTextOnly"/>
        <w:rPr>
          <w:b/>
          <w:bCs/>
        </w:rPr>
      </w:pPr>
      <w:r w:rsidRPr="0001210F">
        <w:rPr>
          <w:b/>
          <w:bCs/>
        </w:rPr>
        <w:t>Data to be Evaluated and Incorporated into the Safety Assessment</w:t>
      </w:r>
    </w:p>
    <w:p w14:paraId="1603AEA5" w14:textId="0EDFD8F0" w:rsidR="0001210F" w:rsidRPr="0001210F" w:rsidRDefault="0001210F" w:rsidP="0001210F">
      <w:pPr>
        <w:pStyle w:val="ICHTextOnly"/>
      </w:pPr>
      <w:r w:rsidRPr="0001210F">
        <w:t xml:space="preserve">In order to establish the safety of a leachable in a specific drug product, a </w:t>
      </w:r>
      <w:r w:rsidR="000E4E4C">
        <w:t>thorough</w:t>
      </w:r>
      <w:r w:rsidR="000E4E4C" w:rsidRPr="0001210F">
        <w:t xml:space="preserve"> </w:t>
      </w:r>
      <w:r w:rsidRPr="0001210F">
        <w:t xml:space="preserve">safety assessment of the compound should be provided. Data elements to be included (where data are available) are listed below.  The relevance and quality of these datasets should also be assessed. As noted above, any use of surrogate compound data </w:t>
      </w:r>
      <w:r w:rsidRPr="0001210F" w:rsidDel="00BF579A">
        <w:t xml:space="preserve">with </w:t>
      </w:r>
      <w:r w:rsidRPr="00A36BA5">
        <w:rPr>
          <w:i/>
          <w:iCs/>
        </w:rPr>
        <w:t>in silico</w:t>
      </w:r>
      <w:r w:rsidRPr="0001210F">
        <w:t xml:space="preserve"> analyses should also be incorporated into the </w:t>
      </w:r>
      <w:r w:rsidR="000E4E4C">
        <w:t xml:space="preserve">safety </w:t>
      </w:r>
      <w:r w:rsidRPr="0001210F">
        <w:t>assessment and justified.  Additionally, if several observed leachables are grouped together for evaluation, the details and justification of this grouping should be included.</w:t>
      </w:r>
    </w:p>
    <w:p w14:paraId="264FBC85" w14:textId="77777777" w:rsidR="0001210F" w:rsidRPr="0001210F" w:rsidRDefault="0001210F" w:rsidP="0001210F">
      <w:pPr>
        <w:pStyle w:val="ICHTextOnly"/>
      </w:pPr>
      <w:r w:rsidRPr="0001210F">
        <w:lastRenderedPageBreak/>
        <w:t>Pharmacological/Biological Data</w:t>
      </w:r>
    </w:p>
    <w:p w14:paraId="5C000638" w14:textId="37E1650E" w:rsidR="0001210F" w:rsidRPr="0001210F" w:rsidRDefault="0001210F" w:rsidP="00A27518">
      <w:pPr>
        <w:pStyle w:val="ICHTextOnly"/>
        <w:numPr>
          <w:ilvl w:val="0"/>
          <w:numId w:val="15"/>
        </w:numPr>
      </w:pPr>
      <w:r w:rsidRPr="0001210F">
        <w:t xml:space="preserve">Consider available </w:t>
      </w:r>
      <w:r w:rsidRPr="00C41BC5">
        <w:rPr>
          <w:i/>
          <w:iCs/>
        </w:rPr>
        <w:t>in vivo</w:t>
      </w:r>
      <w:r w:rsidRPr="0001210F">
        <w:t xml:space="preserve"> or </w:t>
      </w:r>
      <w:r w:rsidRPr="00C41BC5">
        <w:rPr>
          <w:i/>
          <w:iCs/>
        </w:rPr>
        <w:t>in vitro</w:t>
      </w:r>
      <w:r w:rsidRPr="0001210F">
        <w:t xml:space="preserve"> data that suggest the potential for biological effects that could impact the overall safety assessment (e.g., endocrine disruption, anticholinergic activity).</w:t>
      </w:r>
    </w:p>
    <w:p w14:paraId="153E7A31" w14:textId="77777777" w:rsidR="007A474E" w:rsidRDefault="0001210F" w:rsidP="0001210F">
      <w:pPr>
        <w:pStyle w:val="ICHTextOnly"/>
      </w:pPr>
      <w:r w:rsidRPr="0001210F">
        <w:t>Toxicokinetics (TK)</w:t>
      </w:r>
    </w:p>
    <w:p w14:paraId="6BF21E4D" w14:textId="77777777" w:rsidR="007A474E" w:rsidRDefault="0001210F" w:rsidP="00A27518">
      <w:pPr>
        <w:pStyle w:val="ICHTextOnly"/>
        <w:numPr>
          <w:ilvl w:val="0"/>
          <w:numId w:val="15"/>
        </w:numPr>
      </w:pPr>
      <w:r w:rsidRPr="0001210F">
        <w:t>Assess and summarize data relevant to the drug product’s route of administration</w:t>
      </w:r>
    </w:p>
    <w:p w14:paraId="352C13F4" w14:textId="77777777" w:rsidR="0038131C" w:rsidRDefault="0001210F" w:rsidP="00A27518">
      <w:pPr>
        <w:pStyle w:val="ICHTextOnly"/>
        <w:numPr>
          <w:ilvl w:val="0"/>
          <w:numId w:val="15"/>
        </w:numPr>
      </w:pPr>
      <w:r w:rsidRPr="0001210F">
        <w:t>Consider potential differences between absorption and bioavailability, especially when route-to-route extrapolations are required.</w:t>
      </w:r>
    </w:p>
    <w:p w14:paraId="4CA460B8" w14:textId="19D901F0" w:rsidR="0001210F" w:rsidRPr="0001210F" w:rsidRDefault="0001210F" w:rsidP="00A27518">
      <w:pPr>
        <w:pStyle w:val="ICHTextOnly"/>
        <w:numPr>
          <w:ilvl w:val="0"/>
          <w:numId w:val="15"/>
        </w:numPr>
      </w:pPr>
      <w:r w:rsidRPr="0001210F">
        <w:t>Bioaccumulation potential should be considered.</w:t>
      </w:r>
    </w:p>
    <w:p w14:paraId="591EC81F" w14:textId="77777777" w:rsidR="0038131C" w:rsidRDefault="0001210F" w:rsidP="0001210F">
      <w:pPr>
        <w:pStyle w:val="ICHTextOnly"/>
      </w:pPr>
      <w:r w:rsidRPr="0001210F">
        <w:t>Systemic Toxicity</w:t>
      </w:r>
    </w:p>
    <w:p w14:paraId="6A8C005E" w14:textId="77777777" w:rsidR="0038131C" w:rsidRDefault="0001210F" w:rsidP="00A27518">
      <w:pPr>
        <w:pStyle w:val="ICHTextOnly"/>
        <w:numPr>
          <w:ilvl w:val="0"/>
          <w:numId w:val="15"/>
        </w:numPr>
      </w:pPr>
      <w:r w:rsidRPr="0001210F">
        <w:t>Summarize relevant acute, subacute/subchronic and chronic toxicity studies.</w:t>
      </w:r>
    </w:p>
    <w:p w14:paraId="39C3B5BB" w14:textId="77777777" w:rsidR="0038131C" w:rsidRDefault="0001210F" w:rsidP="00A27518">
      <w:pPr>
        <w:pStyle w:val="ICHTextOnly"/>
        <w:numPr>
          <w:ilvl w:val="0"/>
          <w:numId w:val="15"/>
        </w:numPr>
      </w:pPr>
      <w:r w:rsidRPr="0001210F">
        <w:t>Indicate relevance of data to humans.</w:t>
      </w:r>
    </w:p>
    <w:p w14:paraId="01823B30" w14:textId="2CC918A8" w:rsidR="0001210F" w:rsidRPr="0001210F" w:rsidRDefault="0001210F" w:rsidP="00A27518">
      <w:pPr>
        <w:pStyle w:val="ICHTextOnly"/>
        <w:numPr>
          <w:ilvl w:val="0"/>
          <w:numId w:val="15"/>
        </w:numPr>
      </w:pPr>
      <w:r w:rsidRPr="0001210F">
        <w:t>Identify critical study (or studies) for evaluating human systemic toxicity potential.</w:t>
      </w:r>
    </w:p>
    <w:p w14:paraId="124FBF5C" w14:textId="77777777" w:rsidR="006546D2" w:rsidRDefault="0001210F" w:rsidP="0001210F">
      <w:pPr>
        <w:pStyle w:val="ICHTextOnly"/>
      </w:pPr>
      <w:r w:rsidRPr="0001210F">
        <w:t>Sensitization Potential/Local Irritation</w:t>
      </w:r>
    </w:p>
    <w:p w14:paraId="28B1BA1F" w14:textId="77777777" w:rsidR="000F210F" w:rsidRDefault="0001210F" w:rsidP="00A27518">
      <w:pPr>
        <w:pStyle w:val="ICHTextOnly"/>
        <w:numPr>
          <w:ilvl w:val="0"/>
          <w:numId w:val="15"/>
        </w:numPr>
      </w:pPr>
      <w:r w:rsidRPr="0001210F">
        <w:t xml:space="preserve">Relevant available clinical and non-clinical data (supplemented with </w:t>
      </w:r>
      <w:r w:rsidRPr="0008383D">
        <w:rPr>
          <w:i/>
          <w:iCs/>
        </w:rPr>
        <w:t>in silico</w:t>
      </w:r>
      <w:r w:rsidRPr="0001210F">
        <w:t xml:space="preserve"> evaluation, if justified) should be summarized.</w:t>
      </w:r>
    </w:p>
    <w:p w14:paraId="468EABBC" w14:textId="182A4550" w:rsidR="0001210F" w:rsidRPr="0001210F" w:rsidRDefault="0001210F" w:rsidP="00A27518">
      <w:pPr>
        <w:pStyle w:val="ICHTextOnly"/>
        <w:numPr>
          <w:ilvl w:val="0"/>
          <w:numId w:val="15"/>
        </w:numPr>
      </w:pPr>
      <w:r w:rsidRPr="0001210F">
        <w:t>Regulatory classifications (or lack thereof) may be leveraged as pertinent.</w:t>
      </w:r>
    </w:p>
    <w:p w14:paraId="6A5F206A" w14:textId="77777777" w:rsidR="0001210F" w:rsidRPr="0001210F" w:rsidRDefault="0001210F" w:rsidP="0001210F">
      <w:pPr>
        <w:pStyle w:val="ICHTextOnly"/>
      </w:pPr>
      <w:r w:rsidRPr="0001210F">
        <w:t>Developmental and Reproductive Toxicity (DART)</w:t>
      </w:r>
    </w:p>
    <w:p w14:paraId="5E6B6988" w14:textId="0FE386F8" w:rsidR="0001210F" w:rsidRPr="0001210F" w:rsidRDefault="0001210F" w:rsidP="00A27518">
      <w:pPr>
        <w:pStyle w:val="ICHTextOnly"/>
        <w:numPr>
          <w:ilvl w:val="0"/>
          <w:numId w:val="15"/>
        </w:numPr>
      </w:pPr>
      <w:r w:rsidRPr="0001210F">
        <w:t>In addition to summarizing available DART studies, data and/or classifications with respect to endocrine disrupting properties should evaluated and included.</w:t>
      </w:r>
    </w:p>
    <w:p w14:paraId="2DE23457" w14:textId="77777777" w:rsidR="002F7051" w:rsidRDefault="0001210F" w:rsidP="0001210F">
      <w:pPr>
        <w:pStyle w:val="ICHTextOnly"/>
      </w:pPr>
      <w:r w:rsidRPr="0001210F">
        <w:t>Genotoxicity and Carcinogenicity</w:t>
      </w:r>
    </w:p>
    <w:p w14:paraId="66C5617D" w14:textId="77777777" w:rsidR="002F7051" w:rsidRDefault="0001210F" w:rsidP="00A27518">
      <w:pPr>
        <w:pStyle w:val="ICHTextOnly"/>
        <w:numPr>
          <w:ilvl w:val="0"/>
          <w:numId w:val="15"/>
        </w:numPr>
      </w:pPr>
      <w:r w:rsidRPr="0001210F">
        <w:t>Summarize available data and indicate potential relevance to humans.</w:t>
      </w:r>
    </w:p>
    <w:p w14:paraId="4CACDD4E" w14:textId="77777777" w:rsidR="002F7051" w:rsidRDefault="0001210F" w:rsidP="00A27518">
      <w:pPr>
        <w:pStyle w:val="ICHTextOnly"/>
        <w:numPr>
          <w:ilvl w:val="0"/>
          <w:numId w:val="15"/>
        </w:numPr>
      </w:pPr>
      <w:r w:rsidRPr="0001210F">
        <w:t xml:space="preserve">If data are not available, </w:t>
      </w:r>
      <w:r w:rsidRPr="0008383D">
        <w:rPr>
          <w:i/>
          <w:iCs/>
        </w:rPr>
        <w:t>in silico</w:t>
      </w:r>
      <w:r w:rsidRPr="0001210F">
        <w:t xml:space="preserve"> methods consistent with ICH M7 should be used for evaluation (Note: ICH M7 Class 4 is not applicable to leachables).</w:t>
      </w:r>
    </w:p>
    <w:p w14:paraId="0656934E" w14:textId="03CC38D4" w:rsidR="0001210F" w:rsidRPr="0001210F" w:rsidRDefault="0001210F" w:rsidP="00A27518">
      <w:pPr>
        <w:pStyle w:val="ICHTextOnly"/>
        <w:numPr>
          <w:ilvl w:val="0"/>
          <w:numId w:val="15"/>
        </w:numPr>
      </w:pPr>
      <w:r w:rsidRPr="0001210F">
        <w:t>Mechanism(s) for genotoxicity and/or carcinogenicity should be provided if applicable as this is particularly pertinent for acceptable exposure determinations.</w:t>
      </w:r>
    </w:p>
    <w:p w14:paraId="425DCEEF" w14:textId="77777777" w:rsidR="0001210F" w:rsidRPr="0001210F" w:rsidRDefault="0001210F" w:rsidP="0001210F">
      <w:pPr>
        <w:pStyle w:val="ICHTextOnly"/>
      </w:pPr>
      <w:r w:rsidRPr="0001210F">
        <w:t>Additional Information</w:t>
      </w:r>
    </w:p>
    <w:p w14:paraId="23D87820" w14:textId="77777777" w:rsidR="0001210F" w:rsidRPr="0001210F" w:rsidRDefault="0001210F" w:rsidP="00A27518">
      <w:pPr>
        <w:pStyle w:val="ICHTextOnly"/>
        <w:numPr>
          <w:ilvl w:val="0"/>
          <w:numId w:val="17"/>
        </w:numPr>
      </w:pPr>
      <w:r w:rsidRPr="0001210F">
        <w:t>Additional pertinent information to the safety assessment should also be included as available.</w:t>
      </w:r>
    </w:p>
    <w:p w14:paraId="325DE578" w14:textId="42851A2C" w:rsidR="00506F09" w:rsidRPr="0001210F" w:rsidRDefault="0001210F" w:rsidP="00A27518">
      <w:pPr>
        <w:pStyle w:val="ICHTextOnly"/>
        <w:numPr>
          <w:ilvl w:val="0"/>
          <w:numId w:val="17"/>
        </w:numPr>
      </w:pPr>
      <w:r w:rsidRPr="0001210F">
        <w:t>Examples: Existing heath-based risk limit/assessments, clinical and epidemiological data, toxicological data from similar/related compounds</w:t>
      </w:r>
    </w:p>
    <w:p w14:paraId="377B580F" w14:textId="77777777" w:rsidR="00A321F9" w:rsidRDefault="00A321F9" w:rsidP="00054467">
      <w:pPr>
        <w:pStyle w:val="ICHTextOnly"/>
        <w:rPr>
          <w:rFonts w:eastAsia="MS Mincho"/>
          <w:b/>
          <w:bCs/>
          <w:bdr w:val="none" w:sz="0" w:space="0" w:color="auto"/>
          <w:lang w:val="en-US" w:eastAsia="en-US"/>
        </w:rPr>
      </w:pPr>
    </w:p>
    <w:p w14:paraId="1AB9DB96" w14:textId="6F7A076A" w:rsidR="009C21F8" w:rsidRDefault="002B1C44" w:rsidP="00054467">
      <w:pPr>
        <w:pStyle w:val="ICHTextOnly"/>
        <w:rPr>
          <w:rFonts w:eastAsia="MS Mincho"/>
          <w:b/>
          <w:bCs/>
          <w:bdr w:val="none" w:sz="0" w:space="0" w:color="auto"/>
          <w:lang w:val="en-US" w:eastAsia="en-US"/>
        </w:rPr>
      </w:pPr>
      <w:r w:rsidRPr="002B1C44">
        <w:rPr>
          <w:rFonts w:eastAsia="MS Mincho"/>
          <w:b/>
          <w:bCs/>
          <w:bdr w:val="none" w:sz="0" w:space="0" w:color="auto"/>
          <w:lang w:val="en-US" w:eastAsia="en-US"/>
        </w:rPr>
        <w:t>Acceptable Exposure Calculations</w:t>
      </w:r>
    </w:p>
    <w:p w14:paraId="5DF95801" w14:textId="7C41CAE7" w:rsidR="000341AD" w:rsidRPr="00622D3E" w:rsidRDefault="000341AD" w:rsidP="000341AD">
      <w:pPr>
        <w:pStyle w:val="ICHTextOnly"/>
      </w:pPr>
      <w:r w:rsidRPr="695951DC">
        <w:lastRenderedPageBreak/>
        <w:t>The PDE concept has been implemented as a health-based exposure limit in ICH guidelines in addition to other health-based limits such as the Acceptable Intake (AI)</w:t>
      </w:r>
      <w:r w:rsidR="000269CC">
        <w:t>. T</w:t>
      </w:r>
      <w:r w:rsidRPr="695951DC">
        <w:t xml:space="preserve">he process for calculation of a PDE is generally aligned across these guidelines.  This same basic approach has been used to generate PDE values in support of the identified qualification thresholds of the current guideline (with the inclusion of additional modifying factors for bioavailability and for when a read-across approach is used).  This approach is briefly described and summarized below and may be used as the basis for an acceptable exposure level for a leachable in a specific drug product. </w:t>
      </w:r>
    </w:p>
    <w:p w14:paraId="41B2108E" w14:textId="77777777" w:rsidR="000341AD" w:rsidRPr="00622D3E" w:rsidRDefault="000341AD" w:rsidP="000341AD">
      <w:pPr>
        <w:pStyle w:val="ICHTextOnly"/>
      </w:pPr>
    </w:p>
    <w:p w14:paraId="6731EA88" w14:textId="4905AC92" w:rsidR="000341AD" w:rsidRPr="000341AD" w:rsidRDefault="000341AD" w:rsidP="000341AD">
      <w:pPr>
        <w:pStyle w:val="ICHTextOnly"/>
      </w:pPr>
      <w:r w:rsidRPr="695951DC">
        <w:t>Although the method for deriving an acceptable exposure level described here is based on the PDE methodology described in other ICH guidelines, it should be noted that the acceptable exposure may not necessarily be the same as the PDE. Whereas the PDE is by definition an exposure level for lifetime and is applicable across many products, the product-specific acceptable exposure take</w:t>
      </w:r>
      <w:r>
        <w:t>s</w:t>
      </w:r>
      <w:r w:rsidRPr="695951DC">
        <w:t xml:space="preserve"> into account the duration of exposure </w:t>
      </w:r>
      <w:r>
        <w:t>and maximum daily dose</w:t>
      </w:r>
      <w:r w:rsidRPr="695951DC">
        <w:t xml:space="preserve">. Subsequent to review and </w:t>
      </w:r>
      <w:r w:rsidR="000E4E4C">
        <w:t>evaluation</w:t>
      </w:r>
      <w:r w:rsidR="000E4E4C" w:rsidRPr="695951DC">
        <w:t xml:space="preserve"> </w:t>
      </w:r>
      <w:r w:rsidRPr="695951DC">
        <w:t>of the available data and information for the leachable as described above, the derivation process begins with the selection of an appropriate point of departure (</w:t>
      </w:r>
      <w:proofErr w:type="spellStart"/>
      <w:r w:rsidRPr="695951DC">
        <w:t>PoD</w:t>
      </w:r>
      <w:proofErr w:type="spellEnd"/>
      <w:r w:rsidRPr="695951DC">
        <w:t>) and then applying modifying factors (F1</w:t>
      </w:r>
      <w:r w:rsidR="008424D6">
        <w:t>–</w:t>
      </w:r>
      <w:r w:rsidRPr="695951DC">
        <w:t xml:space="preserve">F7).  The most relevant study should be used to select the </w:t>
      </w:r>
      <w:proofErr w:type="spellStart"/>
      <w:r w:rsidRPr="695951DC">
        <w:t>PoD</w:t>
      </w:r>
      <w:proofErr w:type="spellEnd"/>
      <w:r w:rsidR="000151A8">
        <w:t>,</w:t>
      </w:r>
      <w:r w:rsidRPr="695951DC">
        <w:t xml:space="preserve"> taking into consideration the species used, the route and duration of exposure, the toxicological endpoints monitored, and the quality of the study data</w:t>
      </w:r>
      <w:r w:rsidR="001D4A4D">
        <w:t>,</w:t>
      </w:r>
      <w:r w:rsidRPr="695951DC">
        <w:t xml:space="preserve"> </w:t>
      </w:r>
      <w:r w:rsidR="001D4A4D">
        <w:t>i</w:t>
      </w:r>
      <w:r w:rsidRPr="695951DC">
        <w:t>f justified, it may not always be necessary to select the lowest NO</w:t>
      </w:r>
      <w:r w:rsidR="00764C55">
        <w:t>(</w:t>
      </w:r>
      <w:r w:rsidRPr="695951DC">
        <w:t>A</w:t>
      </w:r>
      <w:r w:rsidR="00764C55">
        <w:t>)</w:t>
      </w:r>
      <w:r w:rsidRPr="695951DC">
        <w:t xml:space="preserve">EL as a </w:t>
      </w:r>
      <w:proofErr w:type="spellStart"/>
      <w:r w:rsidRPr="695951DC">
        <w:t>PoD</w:t>
      </w:r>
      <w:proofErr w:type="spellEnd"/>
      <w:r w:rsidRPr="695951DC">
        <w:t xml:space="preserve">.  Previous guidelines have used specific modifying factors for inter- and intraspecies variability (F1 and F2, respectively), duration of the study from which the </w:t>
      </w:r>
      <w:proofErr w:type="spellStart"/>
      <w:r w:rsidRPr="695951DC">
        <w:t>PoD</w:t>
      </w:r>
      <w:proofErr w:type="spellEnd"/>
      <w:r w:rsidRPr="695951DC">
        <w:t xml:space="preserve"> is taken (F3), severity of the toxicity (F4)</w:t>
      </w:r>
      <w:r w:rsidR="00037A30">
        <w:t>,</w:t>
      </w:r>
      <w:r w:rsidRPr="695951DC">
        <w:t xml:space="preserve"> and a factor to account for the absence of a NOAEL (F5). As leachables cover a wide chemical space, bioavailability via various administration routes may vary. Since toxicity data are often only available for a single route, the incorporation of an additional modifying factor (F</w:t>
      </w:r>
      <w:r w:rsidRPr="000341AD">
        <w:t xml:space="preserve">6) is recommended in the current guideline to account for differences in bioavailability when route-to-route extrapolation is required.  Additionally, as noted previously, a </w:t>
      </w:r>
      <w:proofErr w:type="spellStart"/>
      <w:r w:rsidRPr="000341AD">
        <w:t>PoD</w:t>
      </w:r>
      <w:proofErr w:type="spellEnd"/>
      <w:r w:rsidRPr="000341AD">
        <w:t xml:space="preserve"> from a surrogate compound (read across approach) may also sometimes be necessary.  Thus, another modifying factor (F7) to account for uncertainty related to using this surrogate compound is recommended.</w:t>
      </w:r>
    </w:p>
    <w:p w14:paraId="00FF402C" w14:textId="77777777" w:rsidR="000341AD" w:rsidRPr="000341AD" w:rsidRDefault="000341AD" w:rsidP="000341AD">
      <w:pPr>
        <w:pStyle w:val="ICHTextOnly"/>
      </w:pPr>
    </w:p>
    <w:p w14:paraId="14582ADA" w14:textId="54267660" w:rsidR="009E6379" w:rsidRPr="000341AD" w:rsidRDefault="000341AD" w:rsidP="000341AD">
      <w:pPr>
        <w:pStyle w:val="ICHTextOnly"/>
      </w:pPr>
      <w:r w:rsidRPr="000341AD">
        <w:t>As the criteria for selecting values for F1</w:t>
      </w:r>
      <w:r w:rsidR="008424D6">
        <w:t>–</w:t>
      </w:r>
      <w:r w:rsidR="000E3CAC">
        <w:t>F5</w:t>
      </w:r>
      <w:r w:rsidRPr="000341AD">
        <w:t xml:space="preserve"> have been detailed in existing guidelines, they are not repeated here.  However, the newly introduced modifying factors (F6 and F7) pertinent to leachables are summarized below.</w:t>
      </w:r>
    </w:p>
    <w:p w14:paraId="71C3D589" w14:textId="56030D00" w:rsidR="009E6379" w:rsidRDefault="005479B9" w:rsidP="005479B9">
      <w:pPr>
        <w:pStyle w:val="ICHTextOnly"/>
      </w:pPr>
      <w:r w:rsidRPr="005479B9">
        <w:rPr>
          <w:b/>
          <w:bCs/>
        </w:rPr>
        <w:lastRenderedPageBreak/>
        <w:t xml:space="preserve">F6 = A variable factor to account for route of exposure </w:t>
      </w:r>
      <w:r w:rsidR="007737C1">
        <w:rPr>
          <w:b/>
          <w:bCs/>
        </w:rPr>
        <w:t>extrapolation</w:t>
      </w:r>
      <w:r w:rsidRPr="005479B9">
        <w:t xml:space="preserve"> (e.g., oral to parenteral).</w:t>
      </w:r>
    </w:p>
    <w:p w14:paraId="79FFEA61" w14:textId="447F91B5" w:rsidR="005479B9" w:rsidRPr="009E6379" w:rsidRDefault="005479B9" w:rsidP="009E6379">
      <w:pPr>
        <w:pStyle w:val="ICHTextOnly"/>
      </w:pPr>
      <w:r w:rsidRPr="009E6379">
        <w:t xml:space="preserve">In the absence of sufficient toxicity data </w:t>
      </w:r>
      <w:r w:rsidR="00AC5406">
        <w:t xml:space="preserve">on the leachable via </w:t>
      </w:r>
      <w:r w:rsidRPr="009E6379">
        <w:t>the intended route of exposure</w:t>
      </w:r>
      <w:r w:rsidRPr="009E6379" w:rsidDel="002049E3">
        <w:t xml:space="preserve"> </w:t>
      </w:r>
      <w:r w:rsidR="00E65040">
        <w:t>of</w:t>
      </w:r>
      <w:r w:rsidR="00E65040" w:rsidRPr="009E6379" w:rsidDel="002049E3">
        <w:t xml:space="preserve"> </w:t>
      </w:r>
      <w:r w:rsidRPr="009E6379" w:rsidDel="002049E3">
        <w:t>the drug product</w:t>
      </w:r>
      <w:r w:rsidRPr="009E6379">
        <w:t xml:space="preserve">, F6 should be used to adjust for any pertinent difference in bioavailability between the </w:t>
      </w:r>
      <w:proofErr w:type="spellStart"/>
      <w:r w:rsidRPr="009E6379">
        <w:t>PoD</w:t>
      </w:r>
      <w:proofErr w:type="spellEnd"/>
      <w:r w:rsidRPr="009E6379">
        <w:t xml:space="preserve"> study route of </w:t>
      </w:r>
      <w:r w:rsidR="00E65040">
        <w:t>administration</w:t>
      </w:r>
      <w:r w:rsidR="00E65040" w:rsidRPr="009E6379">
        <w:t xml:space="preserve"> </w:t>
      </w:r>
      <w:r w:rsidRPr="009E6379">
        <w:t>and the drug product route of exposure. Ideally, F6 should be based on bioavailability of the parent compound. If a radiolabel study is used, it should be referred to as absorption because it is not clear if the radiolabel is the parent, a metabolite, or a combination of parent and metabolites. If the quality of data is good</w:t>
      </w:r>
      <w:r w:rsidR="00FF6FA8">
        <w:t>,</w:t>
      </w:r>
      <w:r w:rsidRPr="009E6379">
        <w:t xml:space="preserve"> the relative bioavailability estimate can be used to directly inform F6. When there is significant uncertainty for the bioavailability estimate, default factors may alternatively be applied. For example, when using oral toxicity data to derive a parenteral acceptable exposure level:</w:t>
      </w:r>
    </w:p>
    <w:p w14:paraId="69CF8554" w14:textId="77777777" w:rsidR="005479B9" w:rsidRPr="005479B9" w:rsidRDefault="005479B9" w:rsidP="005479B9">
      <w:pPr>
        <w:pStyle w:val="ICHTextOnly"/>
      </w:pPr>
      <w:r w:rsidRPr="005479B9">
        <w:t xml:space="preserve">F6= 100 when oral bioavailability is &lt;1% (divide by a modifying factor of 100) </w:t>
      </w:r>
    </w:p>
    <w:p w14:paraId="593AE35F" w14:textId="77777777" w:rsidR="005479B9" w:rsidRPr="005479B9" w:rsidRDefault="005479B9" w:rsidP="005479B9">
      <w:pPr>
        <w:pStyle w:val="ICHTextOnly"/>
      </w:pPr>
      <w:r w:rsidRPr="005479B9">
        <w:t xml:space="preserve">F6= 10 when oral bioavailability is ≥ 1% and &lt;50% (divide by a modifying factor of 10) </w:t>
      </w:r>
    </w:p>
    <w:p w14:paraId="43319704" w14:textId="77777777" w:rsidR="005479B9" w:rsidRPr="005479B9" w:rsidRDefault="005479B9" w:rsidP="005479B9">
      <w:pPr>
        <w:pStyle w:val="ICHTextOnly"/>
      </w:pPr>
      <w:r w:rsidRPr="005479B9">
        <w:t xml:space="preserve">F6= 2 when oral bioavailability is ≥50% and &lt;90% (divide by a modifying factor of 2), and </w:t>
      </w:r>
    </w:p>
    <w:p w14:paraId="43D2CE78" w14:textId="4016D1D8" w:rsidR="007737C1" w:rsidRPr="005479B9" w:rsidRDefault="005479B9" w:rsidP="00C05618">
      <w:pPr>
        <w:pStyle w:val="ICHTextOnly"/>
        <w:spacing w:after="240"/>
      </w:pPr>
      <w:r w:rsidRPr="005479B9">
        <w:t>F6=1 when oral bioavailability is ≥ 90% (divide by a modifying factor of 1)</w:t>
      </w:r>
    </w:p>
    <w:p w14:paraId="0F1742B2" w14:textId="353B439E" w:rsidR="007737C1" w:rsidRPr="005479B9" w:rsidRDefault="005479B9" w:rsidP="00C05618">
      <w:pPr>
        <w:pStyle w:val="ICHTextOnly"/>
        <w:spacing w:after="240"/>
      </w:pPr>
      <w:r w:rsidRPr="005479B9">
        <w:t xml:space="preserve">In the absence of sufficient in vivo data, additional approaches should be employed as part of a weight-of-evidence strategy or in lieu of in vivo data. For example, a NAM approach (combining </w:t>
      </w:r>
      <w:r w:rsidRPr="00EC5EBA">
        <w:rPr>
          <w:i/>
          <w:iCs/>
        </w:rPr>
        <w:t>in vitro</w:t>
      </w:r>
      <w:r w:rsidRPr="005479B9">
        <w:t xml:space="preserve"> data estimating absorption and internal clearance, with an </w:t>
      </w:r>
      <w:r w:rsidRPr="00EC5EBA">
        <w:rPr>
          <w:i/>
          <w:iCs/>
        </w:rPr>
        <w:t>in silico</w:t>
      </w:r>
      <w:r w:rsidRPr="005479B9">
        <w:t xml:space="preserve"> PBPK model) can be used to generate data to assess bioavailability if properly supported and scientifically justified. Alternatively, a default modifying factor of 100 is suggested for F6, with smaller values requiring justification (e.g.</w:t>
      </w:r>
      <w:r w:rsidR="009D4326">
        <w:t>,</w:t>
      </w:r>
      <w:r w:rsidRPr="005479B9">
        <w:t xml:space="preserve"> reasoning based on the physicochemical characteristics of the compound). When suitable bioavailability data are available for a surrogate molecule allowing a read-across approach these data may be leveraged to inform the bioavailability estimate, if sufficiently justified.</w:t>
      </w:r>
    </w:p>
    <w:p w14:paraId="3F35B884" w14:textId="77777777" w:rsidR="005479B9" w:rsidRPr="005479B9" w:rsidRDefault="005479B9" w:rsidP="005479B9">
      <w:pPr>
        <w:pStyle w:val="ICHTextOnly"/>
      </w:pPr>
      <w:r w:rsidRPr="005479B9">
        <w:t xml:space="preserve">For some routes, such as inhalation, additional considerations are warranted when determining an appropriate F6 value. For example, for an inhalation toxicology study, data on respiratory tract deposition, respiratory absorption rate and pulmonary metabolism may inform on F6. </w:t>
      </w:r>
    </w:p>
    <w:p w14:paraId="4DF35465" w14:textId="41EB0A46" w:rsidR="004B51EA" w:rsidRPr="00C05618" w:rsidRDefault="005479B9" w:rsidP="00C05618">
      <w:pPr>
        <w:pStyle w:val="ICHTextOnly"/>
        <w:spacing w:after="240"/>
      </w:pPr>
      <w:r w:rsidRPr="005479B9">
        <w:t xml:space="preserve">For dermal routes, if toxicokinetic data are available these can be used to estimate the systemic dose. The parenteral QT can be referred to when evaluating the estimated total daily systemic dose of the leachable. In the absence of toxicokinetic data, when extrapolating from dermal dose to systemic dose, a default absorption of 70% or 50% is assumed to be sufficiently conservative for most organic solvent-based dilutes and water-based or dispersed dilutes, </w:t>
      </w:r>
      <w:r w:rsidRPr="005479B9">
        <w:lastRenderedPageBreak/>
        <w:t xml:space="preserve">respectively. If both the molecular weight is greater than 500 and the </w:t>
      </w:r>
      <w:proofErr w:type="spellStart"/>
      <w:r w:rsidRPr="005479B9">
        <w:t>logPow</w:t>
      </w:r>
      <w:proofErr w:type="spellEnd"/>
      <w:r w:rsidRPr="005479B9">
        <w:t xml:space="preserve"> is either below –1 or above 4, a default absorption factor of 10% is assumed. Leachables may penetrate the skin to a greater extent when present in dermal drug products that are formulated for enhanced percutaneous absorption or where skin integrity may be compromised. A higher rate of absorption should be assumed in such cases.</w:t>
      </w:r>
    </w:p>
    <w:p w14:paraId="1F028FA3" w14:textId="3CE70E24" w:rsidR="00EA7C8A" w:rsidRPr="00EA7C8A" w:rsidRDefault="00EA7C8A" w:rsidP="00EA7C8A">
      <w:pPr>
        <w:pStyle w:val="ICHTextOnly"/>
        <w:rPr>
          <w:b/>
          <w:bCs/>
        </w:rPr>
      </w:pPr>
      <w:r w:rsidRPr="00EA7C8A">
        <w:rPr>
          <w:b/>
          <w:bCs/>
        </w:rPr>
        <w:t>F7= A variable factor that may be applied if a Read Across Approach is used.</w:t>
      </w:r>
    </w:p>
    <w:p w14:paraId="113B039F" w14:textId="0D7602E5" w:rsidR="00D76110" w:rsidRPr="00622D3E" w:rsidRDefault="00EA7C8A" w:rsidP="00C05618">
      <w:pPr>
        <w:pStyle w:val="ICHTextOnly"/>
        <w:spacing w:after="240"/>
      </w:pPr>
      <w:r w:rsidRPr="695951DC">
        <w:t xml:space="preserve">When read across strategy is utilized, a factor of up to 5 may be used depending on the level of (dis)similarity to the leachable compound of interest.  In general, when a surrogate is considered similar based on the criteria described in this guideline, an F7 of 1 may be applicable.  </w:t>
      </w:r>
    </w:p>
    <w:p w14:paraId="6DEA545B" w14:textId="77777777" w:rsidR="00D76110" w:rsidRPr="00D76110" w:rsidRDefault="00D76110" w:rsidP="00D76110">
      <w:pPr>
        <w:pStyle w:val="ICHTextOnly"/>
        <w:rPr>
          <w:b/>
          <w:bCs/>
        </w:rPr>
      </w:pPr>
      <w:r w:rsidRPr="00D76110">
        <w:rPr>
          <w:b/>
          <w:bCs/>
        </w:rPr>
        <w:t>References</w:t>
      </w:r>
    </w:p>
    <w:p w14:paraId="318EFCD9" w14:textId="782EF52A" w:rsidR="00EA7C8A" w:rsidRPr="00C05618" w:rsidRDefault="00D76110" w:rsidP="00C05618">
      <w:pPr>
        <w:pStyle w:val="ICHTextOnly"/>
        <w:spacing w:after="240"/>
        <w:rPr>
          <w:rFonts w:eastAsia="Calibri"/>
        </w:rPr>
      </w:pPr>
      <w:r w:rsidRPr="00622D3E">
        <w:rPr>
          <w:rFonts w:eastAsia="Calibri"/>
        </w:rPr>
        <w:t>Copies of articles (or other documents) referenced to support a proposed PDE should be provided.</w:t>
      </w:r>
    </w:p>
    <w:p w14:paraId="1F47AE28" w14:textId="67DBAE1B" w:rsidR="0056616F" w:rsidRPr="00C05618" w:rsidRDefault="00F527FC" w:rsidP="00C05618">
      <w:pPr>
        <w:pStyle w:val="ICHTextOnly"/>
        <w:spacing w:after="240"/>
        <w:rPr>
          <w:b/>
          <w:bCs/>
        </w:rPr>
      </w:pPr>
      <w:r w:rsidRPr="00F527FC">
        <w:rPr>
          <w:b/>
          <w:bCs/>
        </w:rPr>
        <w:t>Margin of Safety (MOS) and justification for leachable levels higher than a calculated acceptable exposure level or established PDE</w:t>
      </w:r>
    </w:p>
    <w:p w14:paraId="2C91F4AD" w14:textId="77777777" w:rsidR="00795B23" w:rsidRDefault="00795B23" w:rsidP="00795B23">
      <w:pPr>
        <w:pStyle w:val="ICHTextOnly"/>
      </w:pPr>
      <w:r w:rsidRPr="00795B23">
        <w:t>For each substance for which an acceptable exposure level (e.g., PDE or AI) has been determined, a margin of safety can be calculated using the following formula:</w:t>
      </w:r>
    </w:p>
    <w:tbl>
      <w:tblPr>
        <w:tblStyle w:val="TableGrid"/>
        <w:tblW w:w="0" w:type="auto"/>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025"/>
        <w:gridCol w:w="480"/>
        <w:gridCol w:w="3120"/>
      </w:tblGrid>
      <w:tr w:rsidR="00B143E2" w:rsidRPr="00622D3E" w14:paraId="30FB9D02" w14:textId="77777777" w:rsidTr="00383F97">
        <w:trPr>
          <w:trHeight w:val="302"/>
          <w:jc w:val="center"/>
        </w:trPr>
        <w:tc>
          <w:tcPr>
            <w:tcW w:w="2025" w:type="dxa"/>
            <w:vMerge w:val="restart"/>
            <w:vAlign w:val="center"/>
          </w:tcPr>
          <w:p w14:paraId="22D0FB11" w14:textId="77777777" w:rsidR="00B143E2" w:rsidRPr="00B143E2" w:rsidRDefault="00B143E2" w:rsidP="00383F97">
            <w:pPr>
              <w:spacing w:beforeAutospacing="1" w:afterAutospacing="1"/>
              <w:jc w:val="center"/>
              <w:rPr>
                <w:rFonts w:ascii="Times New Roman" w:eastAsia="Calibri" w:hAnsi="Times New Roman" w:cs="Times New Roman"/>
                <w:sz w:val="24"/>
                <w:szCs w:val="24"/>
              </w:rPr>
            </w:pPr>
            <w:r w:rsidRPr="00B143E2">
              <w:rPr>
                <w:rFonts w:ascii="Times New Roman" w:eastAsia="Calibri" w:hAnsi="Times New Roman" w:cs="Times New Roman"/>
                <w:sz w:val="24"/>
                <w:szCs w:val="24"/>
              </w:rPr>
              <w:t>Margin of Safety</w:t>
            </w:r>
          </w:p>
        </w:tc>
        <w:tc>
          <w:tcPr>
            <w:tcW w:w="480" w:type="dxa"/>
            <w:vMerge w:val="restart"/>
            <w:vAlign w:val="bottom"/>
          </w:tcPr>
          <w:p w14:paraId="463C81D5" w14:textId="77777777" w:rsidR="00B143E2" w:rsidRPr="00622D3E" w:rsidRDefault="00B143E2" w:rsidP="00383F97">
            <w:pPr>
              <w:spacing w:beforeAutospacing="1" w:afterAutospacing="1"/>
              <w:jc w:val="center"/>
              <w:rPr>
                <w:rFonts w:eastAsia="Calibri"/>
                <w:i/>
                <w:iCs/>
              </w:rPr>
            </w:pPr>
            <w:r w:rsidRPr="00622D3E">
              <w:rPr>
                <w:rFonts w:eastAsia="Calibri"/>
                <w:i/>
                <w:iCs/>
              </w:rPr>
              <w:t>=</w:t>
            </w:r>
          </w:p>
        </w:tc>
        <w:tc>
          <w:tcPr>
            <w:tcW w:w="3120" w:type="dxa"/>
            <w:tcBorders>
              <w:bottom w:val="single" w:sz="12" w:space="0" w:color="000000" w:themeColor="text1"/>
            </w:tcBorders>
            <w:vAlign w:val="center"/>
          </w:tcPr>
          <w:p w14:paraId="1A4DAD3C" w14:textId="77777777" w:rsidR="00B143E2" w:rsidRPr="00B143E2" w:rsidRDefault="00B143E2" w:rsidP="00383F97">
            <w:pPr>
              <w:spacing w:beforeAutospacing="1" w:afterAutospacing="1"/>
              <w:jc w:val="center"/>
              <w:rPr>
                <w:rFonts w:ascii="Times New Roman" w:eastAsia="Calibri" w:hAnsi="Times New Roman" w:cs="Times New Roman"/>
                <w:iCs/>
                <w:sz w:val="24"/>
                <w:szCs w:val="24"/>
              </w:rPr>
            </w:pPr>
            <w:r w:rsidRPr="00B143E2">
              <w:rPr>
                <w:rFonts w:ascii="Times New Roman" w:eastAsia="Calibri" w:hAnsi="Times New Roman" w:cs="Times New Roman"/>
                <w:iCs/>
                <w:sz w:val="24"/>
                <w:szCs w:val="24"/>
              </w:rPr>
              <w:t xml:space="preserve">Acceptable exposure level </w:t>
            </w:r>
          </w:p>
        </w:tc>
      </w:tr>
      <w:tr w:rsidR="00B143E2" w:rsidRPr="00622D3E" w14:paraId="4724AE18" w14:textId="77777777" w:rsidTr="00383F97">
        <w:trPr>
          <w:trHeight w:val="315"/>
          <w:jc w:val="center"/>
        </w:trPr>
        <w:tc>
          <w:tcPr>
            <w:tcW w:w="2025" w:type="dxa"/>
            <w:vMerge/>
          </w:tcPr>
          <w:p w14:paraId="3FC310C5" w14:textId="77777777" w:rsidR="00B143E2" w:rsidRPr="00622D3E" w:rsidRDefault="00B143E2" w:rsidP="00383F97"/>
        </w:tc>
        <w:tc>
          <w:tcPr>
            <w:tcW w:w="480" w:type="dxa"/>
            <w:vMerge/>
          </w:tcPr>
          <w:p w14:paraId="39673480" w14:textId="77777777" w:rsidR="00B143E2" w:rsidRPr="00622D3E" w:rsidRDefault="00B143E2" w:rsidP="00383F97"/>
        </w:tc>
        <w:tc>
          <w:tcPr>
            <w:tcW w:w="3120" w:type="dxa"/>
            <w:tcBorders>
              <w:top w:val="single" w:sz="12" w:space="0" w:color="000000" w:themeColor="text1"/>
            </w:tcBorders>
            <w:vAlign w:val="center"/>
          </w:tcPr>
          <w:p w14:paraId="4755F1A9" w14:textId="77777777" w:rsidR="00B143E2" w:rsidRPr="00B143E2" w:rsidRDefault="00B143E2" w:rsidP="00383F97">
            <w:pPr>
              <w:spacing w:beforeAutospacing="1" w:afterAutospacing="1"/>
              <w:jc w:val="center"/>
              <w:rPr>
                <w:rFonts w:ascii="Times New Roman" w:eastAsia="Calibri" w:hAnsi="Times New Roman" w:cs="Times New Roman"/>
                <w:sz w:val="24"/>
                <w:szCs w:val="24"/>
              </w:rPr>
            </w:pPr>
            <w:r w:rsidRPr="00B143E2">
              <w:rPr>
                <w:rFonts w:ascii="Times New Roman" w:eastAsia="Calibri" w:hAnsi="Times New Roman" w:cs="Times New Roman"/>
                <w:sz w:val="24"/>
                <w:szCs w:val="24"/>
              </w:rPr>
              <w:t>Potential patient exposure</w:t>
            </w:r>
          </w:p>
        </w:tc>
      </w:tr>
    </w:tbl>
    <w:p w14:paraId="6A080402" w14:textId="77777777" w:rsidR="00B143E2" w:rsidRPr="00795B23" w:rsidRDefault="00B143E2" w:rsidP="00795B23">
      <w:pPr>
        <w:pStyle w:val="ICHTextOnly"/>
      </w:pPr>
    </w:p>
    <w:p w14:paraId="5591504D" w14:textId="77777777" w:rsidR="00795B23" w:rsidRPr="00795B23" w:rsidRDefault="00795B23" w:rsidP="00795B23">
      <w:pPr>
        <w:pStyle w:val="ICHTextOnly"/>
      </w:pPr>
      <w:r w:rsidRPr="00795B23">
        <w:t>For any substances with an MOS &lt;1, risk mitigation measures (such as the selection of alternate materials) that might reduce or eliminate the leachable of concern should be considered.  Alternatively, it should be demonstrated that a limit greater than the acceptable exposure level (e.g., PDE) does not pose a safety concern for a specific drug product.  An acceptable exposure level to a leachable higher than the calculated or established PDE may be acceptable in certain cases, taking into account relevant product-specific considerations. These cases could include, but are not limited to, the following situations:</w:t>
      </w:r>
    </w:p>
    <w:p w14:paraId="42C28113" w14:textId="1F47356E" w:rsidR="00795B23" w:rsidRPr="00795B23" w:rsidRDefault="00795B23" w:rsidP="00A27518">
      <w:pPr>
        <w:pStyle w:val="ICHTextOnly"/>
        <w:numPr>
          <w:ilvl w:val="0"/>
          <w:numId w:val="16"/>
        </w:numPr>
      </w:pPr>
      <w:r w:rsidRPr="00795B23">
        <w:t>Intermittent administration of the drug to patients;</w:t>
      </w:r>
    </w:p>
    <w:p w14:paraId="3ADE8D58" w14:textId="77542387" w:rsidR="00795B23" w:rsidRPr="00795B23" w:rsidRDefault="00795B23" w:rsidP="00A27518">
      <w:pPr>
        <w:pStyle w:val="ICHTextOnly"/>
        <w:numPr>
          <w:ilvl w:val="0"/>
          <w:numId w:val="16"/>
        </w:numPr>
      </w:pPr>
      <w:r w:rsidRPr="00795B23">
        <w:t>Short term administration (i.e., 30 days or less);</w:t>
      </w:r>
    </w:p>
    <w:p w14:paraId="06E141D6" w14:textId="71E3F730" w:rsidR="00795B23" w:rsidRPr="00795B23" w:rsidRDefault="00795B23" w:rsidP="00A27518">
      <w:pPr>
        <w:pStyle w:val="ICHTextOnly"/>
        <w:numPr>
          <w:ilvl w:val="0"/>
          <w:numId w:val="16"/>
        </w:numPr>
      </w:pPr>
      <w:r w:rsidRPr="00795B23">
        <w:t>Limited patient population (e.g., adult males only);</w:t>
      </w:r>
    </w:p>
    <w:p w14:paraId="0AA7728E" w14:textId="518EE419" w:rsidR="00795B23" w:rsidRPr="00795B23" w:rsidRDefault="00795B23" w:rsidP="00A27518">
      <w:pPr>
        <w:pStyle w:val="ICHTextOnly"/>
        <w:numPr>
          <w:ilvl w:val="0"/>
          <w:numId w:val="16"/>
        </w:numPr>
      </w:pPr>
      <w:r w:rsidRPr="00795B23">
        <w:t>Specific indications (e.g., life-threatening, unmet medical needs, rare diseases).</w:t>
      </w:r>
    </w:p>
    <w:p w14:paraId="54E273D2" w14:textId="585F96D9" w:rsidR="00795B23" w:rsidRPr="00795B23" w:rsidRDefault="00795B23" w:rsidP="00C05618">
      <w:pPr>
        <w:pStyle w:val="ICHTextOnly"/>
        <w:spacing w:after="240"/>
      </w:pPr>
      <w:r w:rsidRPr="00795B23">
        <w:t xml:space="preserve">Additionally, it should be noted, that for drugs administered for less than lifetime to the patient, </w:t>
      </w:r>
      <w:r w:rsidRPr="00795B23">
        <w:lastRenderedPageBreak/>
        <w:t xml:space="preserve">it may be appropriate to </w:t>
      </w:r>
      <w:r w:rsidR="00E2507C">
        <w:t>use</w:t>
      </w:r>
      <w:r w:rsidRPr="00795B23" w:rsidDel="00E2507C">
        <w:t xml:space="preserve"> </w:t>
      </w:r>
      <w:r w:rsidR="00CD70BE" w:rsidRPr="00795B23">
        <w:t xml:space="preserve">a lower value for F3 than would usually be applied </w:t>
      </w:r>
      <w:r w:rsidR="00BE7C9B">
        <w:t>where</w:t>
      </w:r>
      <w:r w:rsidR="00CD70BE">
        <w:t xml:space="preserve"> </w:t>
      </w:r>
      <w:r w:rsidR="00D7320A">
        <w:t xml:space="preserve">a toxicity study of short-term </w:t>
      </w:r>
      <w:r w:rsidR="0081090F">
        <w:t>exposure</w:t>
      </w:r>
      <w:r w:rsidR="00D7320A">
        <w:t xml:space="preserve"> </w:t>
      </w:r>
      <w:r w:rsidR="00BE7C9B">
        <w:t>is</w:t>
      </w:r>
      <w:r w:rsidR="00D7320A">
        <w:t xml:space="preserve"> </w:t>
      </w:r>
      <w:r w:rsidRPr="00795B23">
        <w:t>select</w:t>
      </w:r>
      <w:r w:rsidR="00A11BC4">
        <w:t>ed</w:t>
      </w:r>
      <w:r w:rsidRPr="00795B23">
        <w:t xml:space="preserve"> a</w:t>
      </w:r>
      <w:r w:rsidR="00A11BC4">
        <w:t>s</w:t>
      </w:r>
      <w:r w:rsidRPr="00795B23">
        <w:t xml:space="preserve"> </w:t>
      </w:r>
      <w:proofErr w:type="spellStart"/>
      <w:r w:rsidRPr="00795B23">
        <w:t>PoD</w:t>
      </w:r>
      <w:proofErr w:type="spellEnd"/>
      <w:r w:rsidRPr="00795B23">
        <w:t>. In this case an</w:t>
      </w:r>
      <w:r w:rsidRPr="00795B23" w:rsidDel="00DC3C47">
        <w:t xml:space="preserve"> </w:t>
      </w:r>
      <w:r w:rsidRPr="00795B23">
        <w:t xml:space="preserve">acceptable exposure level is derived, as opposed to PDE. If additional animal studies are available with longer duration, these may have NOAEL values based on findings that may not be relevant to shorter term exposures and therefore may not be the most appropriate </w:t>
      </w:r>
      <w:proofErr w:type="spellStart"/>
      <w:r w:rsidRPr="00795B23">
        <w:t>PoD</w:t>
      </w:r>
      <w:proofErr w:type="spellEnd"/>
      <w:r w:rsidRPr="00795B23">
        <w:t xml:space="preserve"> for a given drug product. </w:t>
      </w:r>
      <w:r w:rsidR="0082118E">
        <w:t>However,</w:t>
      </w:r>
      <w:r w:rsidR="002D2E93">
        <w:t xml:space="preserve"> </w:t>
      </w:r>
      <w:r w:rsidR="000D75A3">
        <w:t xml:space="preserve">while toxicity studies of short-term </w:t>
      </w:r>
      <w:r w:rsidR="00DA7EB3">
        <w:t>exposure</w:t>
      </w:r>
      <w:r w:rsidR="003526AD">
        <w:t xml:space="preserve"> may be acceptable </w:t>
      </w:r>
      <w:r w:rsidR="008B10D8">
        <w:t xml:space="preserve">as a </w:t>
      </w:r>
      <w:proofErr w:type="spellStart"/>
      <w:r w:rsidR="008B10D8">
        <w:t>PoD</w:t>
      </w:r>
      <w:proofErr w:type="spellEnd"/>
      <w:r w:rsidR="0098519D">
        <w:t xml:space="preserve"> in this circumstance, this does not include </w:t>
      </w:r>
      <w:r w:rsidR="002D2E93">
        <w:t>LD</w:t>
      </w:r>
      <w:r w:rsidR="002D2E93" w:rsidRPr="007146A2">
        <w:rPr>
          <w:vertAlign w:val="subscript"/>
        </w:rPr>
        <w:t>50</w:t>
      </w:r>
      <w:r w:rsidR="002D2E93">
        <w:t xml:space="preserve"> stud</w:t>
      </w:r>
      <w:r w:rsidR="0098519D">
        <w:t>ies.</w:t>
      </w:r>
      <w:r w:rsidR="002D2E93">
        <w:t xml:space="preserve"> </w:t>
      </w:r>
    </w:p>
    <w:p w14:paraId="441B8EF8" w14:textId="56881147" w:rsidR="007737C1" w:rsidRDefault="00795B23" w:rsidP="00C05618">
      <w:pPr>
        <w:pStyle w:val="ICHTextOnly"/>
        <w:spacing w:after="240"/>
      </w:pPr>
      <w:r w:rsidRPr="00795B23">
        <w:t>In cases where a product is administered intermittently, a subfactor approach for F2 as described in ICH Q3D can be applied if supported by data. Alternatively, the value for F3 can be modified.</w:t>
      </w:r>
    </w:p>
    <w:p w14:paraId="1E8906F1" w14:textId="77777777" w:rsidR="008913CB" w:rsidRDefault="008913CB" w:rsidP="008913CB">
      <w:pPr>
        <w:pStyle w:val="ICHTextOnly"/>
        <w:rPr>
          <w:b/>
          <w:bCs/>
        </w:rPr>
      </w:pPr>
      <w:r w:rsidRPr="008913CB">
        <w:rPr>
          <w:b/>
          <w:bCs/>
        </w:rPr>
        <w:t>Table A.5.1: Example considerations for a weight of evidence justification when qualification of leachables is necessary</w:t>
      </w:r>
      <w:r w:rsidRPr="695951DC">
        <w:t xml:space="preserve">. </w:t>
      </w:r>
      <w:r w:rsidRPr="008913CB">
        <w:rPr>
          <w:b/>
          <w:bCs/>
        </w:rPr>
        <w:t xml:space="preserve">Non-animal methods should be prioritized where possible. </w:t>
      </w:r>
    </w:p>
    <w:tbl>
      <w:tblPr>
        <w:tblW w:w="9805" w:type="dxa"/>
        <w:jc w:val="center"/>
        <w:tblCellMar>
          <w:left w:w="0" w:type="dxa"/>
          <w:right w:w="0" w:type="dxa"/>
        </w:tblCellMar>
        <w:tblLook w:val="04A0" w:firstRow="1" w:lastRow="0" w:firstColumn="1" w:lastColumn="0" w:noHBand="0" w:noVBand="1"/>
      </w:tblPr>
      <w:tblGrid>
        <w:gridCol w:w="1975"/>
        <w:gridCol w:w="3865"/>
        <w:gridCol w:w="3965"/>
      </w:tblGrid>
      <w:tr w:rsidR="00A47BF8" w:rsidRPr="00622D3E" w14:paraId="5D4EA22F" w14:textId="77777777" w:rsidTr="00383F9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EFEAFB" w14:textId="77777777" w:rsidR="00A47BF8" w:rsidRPr="00A47BF8" w:rsidRDefault="00A47BF8" w:rsidP="00A47BF8">
            <w:pPr>
              <w:pStyle w:val="ICHTextOnly"/>
              <w:jc w:val="center"/>
              <w:rPr>
                <w:b/>
                <w:bCs/>
              </w:rPr>
            </w:pPr>
            <w:r w:rsidRPr="00A47BF8">
              <w:rPr>
                <w:b/>
                <w:bCs/>
              </w:rPr>
              <w:t>Toxicological Endpoint</w:t>
            </w:r>
          </w:p>
        </w:tc>
        <w:tc>
          <w:tcPr>
            <w:tcW w:w="38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16A528" w14:textId="77777777" w:rsidR="00A47BF8" w:rsidRPr="00A47BF8" w:rsidRDefault="00A47BF8" w:rsidP="00A47BF8">
            <w:pPr>
              <w:pStyle w:val="ICHTextOnly"/>
              <w:jc w:val="center"/>
              <w:rPr>
                <w:b/>
                <w:bCs/>
              </w:rPr>
            </w:pPr>
            <w:r w:rsidRPr="00A47BF8">
              <w:rPr>
                <w:b/>
                <w:bCs/>
              </w:rPr>
              <w:t xml:space="preserve">Non-Animal Methods </w:t>
            </w:r>
            <w:r w:rsidRPr="00A47BF8">
              <w:rPr>
                <w:b/>
                <w:bCs/>
              </w:rPr>
              <w:br/>
              <w:t>(with justification)</w:t>
            </w:r>
          </w:p>
        </w:tc>
        <w:tc>
          <w:tcPr>
            <w:tcW w:w="39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CAC0AD" w14:textId="77777777" w:rsidR="00A47BF8" w:rsidRPr="00A47BF8" w:rsidRDefault="00A47BF8" w:rsidP="00A47BF8">
            <w:pPr>
              <w:pStyle w:val="ICHTextOnly"/>
              <w:jc w:val="center"/>
              <w:rPr>
                <w:b/>
                <w:bCs/>
              </w:rPr>
            </w:pPr>
            <w:r w:rsidRPr="00A47BF8">
              <w:rPr>
                <w:b/>
                <w:bCs/>
                <w:i/>
                <w:iCs/>
              </w:rPr>
              <w:t>In vivo</w:t>
            </w:r>
            <w:r w:rsidRPr="00A47BF8">
              <w:rPr>
                <w:b/>
                <w:bCs/>
              </w:rPr>
              <w:t xml:space="preserve"> Models</w:t>
            </w:r>
          </w:p>
        </w:tc>
      </w:tr>
      <w:tr w:rsidR="00A47BF8" w:rsidRPr="00622D3E" w14:paraId="7031D0C1" w14:textId="77777777" w:rsidTr="00383F9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B0D026" w14:textId="77777777" w:rsidR="00A47BF8" w:rsidRPr="00622D3E" w:rsidRDefault="00A47BF8" w:rsidP="00A47BF8">
            <w:pPr>
              <w:pStyle w:val="ICHTextOnly"/>
              <w:jc w:val="center"/>
            </w:pPr>
            <w:r w:rsidRPr="00622D3E">
              <w:t>General Systemic Toxicity</w:t>
            </w:r>
          </w:p>
        </w:tc>
        <w:tc>
          <w:tcPr>
            <w:tcW w:w="3865" w:type="dxa"/>
            <w:tcBorders>
              <w:top w:val="nil"/>
              <w:left w:val="nil"/>
              <w:bottom w:val="single" w:sz="8" w:space="0" w:color="auto"/>
              <w:right w:val="single" w:sz="8" w:space="0" w:color="auto"/>
            </w:tcBorders>
            <w:tcMar>
              <w:top w:w="0" w:type="dxa"/>
              <w:left w:w="108" w:type="dxa"/>
              <w:bottom w:w="0" w:type="dxa"/>
              <w:right w:w="108" w:type="dxa"/>
            </w:tcMar>
          </w:tcPr>
          <w:p w14:paraId="162E0AF0" w14:textId="77777777" w:rsidR="00A47BF8" w:rsidRPr="00622D3E" w:rsidRDefault="00A47BF8" w:rsidP="00A47BF8">
            <w:pPr>
              <w:pStyle w:val="ICHTextOnly"/>
              <w:jc w:val="center"/>
            </w:pPr>
            <w:r w:rsidRPr="00622D3E">
              <w:t>Read across</w:t>
            </w:r>
          </w:p>
        </w:tc>
        <w:tc>
          <w:tcPr>
            <w:tcW w:w="3965" w:type="dxa"/>
            <w:tcBorders>
              <w:top w:val="nil"/>
              <w:left w:val="nil"/>
              <w:bottom w:val="single" w:sz="8" w:space="0" w:color="auto"/>
              <w:right w:val="single" w:sz="8" w:space="0" w:color="auto"/>
            </w:tcBorders>
            <w:tcMar>
              <w:top w:w="0" w:type="dxa"/>
              <w:left w:w="108" w:type="dxa"/>
              <w:bottom w:w="0" w:type="dxa"/>
              <w:right w:w="108" w:type="dxa"/>
            </w:tcMar>
            <w:hideMark/>
          </w:tcPr>
          <w:p w14:paraId="7F665773" w14:textId="112B1E10" w:rsidR="00A47BF8" w:rsidRPr="00622D3E" w:rsidRDefault="00A47BF8" w:rsidP="00A47BF8">
            <w:pPr>
              <w:pStyle w:val="ICHTextOnly"/>
              <w:jc w:val="center"/>
            </w:pPr>
            <w:r w:rsidRPr="695951DC">
              <w:t>Qualification study(ies) as described in ICH Q3A and Q3B</w:t>
            </w:r>
          </w:p>
          <w:p w14:paraId="1435D4CF" w14:textId="77777777" w:rsidR="00A47BF8" w:rsidRPr="00622D3E" w:rsidRDefault="00A47BF8" w:rsidP="00A47BF8">
            <w:pPr>
              <w:pStyle w:val="ICHTextOnly"/>
              <w:jc w:val="center"/>
            </w:pPr>
            <w:r w:rsidRPr="00622D3E">
              <w:t>Regional guidance (such as USP)</w:t>
            </w:r>
          </w:p>
        </w:tc>
      </w:tr>
      <w:tr w:rsidR="00A47BF8" w:rsidRPr="00622D3E" w14:paraId="7A5FC78D" w14:textId="77777777" w:rsidTr="00383F97">
        <w:trPr>
          <w:trHeight w:val="3286"/>
          <w:jc w:val="center"/>
        </w:trPr>
        <w:tc>
          <w:tcPr>
            <w:tcW w:w="1975" w:type="dxa"/>
            <w:tcBorders>
              <w:top w:val="nil"/>
              <w:left w:val="single" w:sz="8" w:space="0" w:color="auto"/>
              <w:right w:val="single" w:sz="8" w:space="0" w:color="auto"/>
            </w:tcBorders>
            <w:tcMar>
              <w:top w:w="0" w:type="dxa"/>
              <w:left w:w="108" w:type="dxa"/>
              <w:bottom w:w="0" w:type="dxa"/>
              <w:right w:w="108" w:type="dxa"/>
            </w:tcMar>
            <w:hideMark/>
          </w:tcPr>
          <w:p w14:paraId="422267DC" w14:textId="77777777" w:rsidR="00A47BF8" w:rsidRPr="00622D3E" w:rsidRDefault="00A47BF8" w:rsidP="00A47BF8">
            <w:pPr>
              <w:pStyle w:val="ICHTextOnly"/>
              <w:jc w:val="center"/>
            </w:pPr>
            <w:r w:rsidRPr="00622D3E">
              <w:t>Local Toxicity</w:t>
            </w:r>
          </w:p>
        </w:tc>
        <w:tc>
          <w:tcPr>
            <w:tcW w:w="3865" w:type="dxa"/>
            <w:tcBorders>
              <w:top w:val="nil"/>
              <w:left w:val="nil"/>
              <w:right w:val="single" w:sz="8" w:space="0" w:color="auto"/>
            </w:tcBorders>
            <w:tcMar>
              <w:top w:w="0" w:type="dxa"/>
              <w:left w:w="108" w:type="dxa"/>
              <w:bottom w:w="0" w:type="dxa"/>
              <w:right w:w="108" w:type="dxa"/>
            </w:tcMar>
          </w:tcPr>
          <w:p w14:paraId="3CF7448E" w14:textId="77777777" w:rsidR="00A47BF8" w:rsidRPr="00622D3E" w:rsidRDefault="00A47BF8" w:rsidP="00A47BF8">
            <w:pPr>
              <w:pStyle w:val="ICHTextOnly"/>
              <w:jc w:val="center"/>
            </w:pPr>
            <w:r w:rsidRPr="00622D3E">
              <w:t>Read across</w:t>
            </w:r>
          </w:p>
          <w:p w14:paraId="750DC90F" w14:textId="77777777" w:rsidR="00A47BF8" w:rsidRPr="00622D3E" w:rsidRDefault="00A47BF8" w:rsidP="00A47BF8">
            <w:pPr>
              <w:pStyle w:val="ICHTextOnly"/>
              <w:jc w:val="center"/>
            </w:pPr>
            <w:r w:rsidRPr="00EC5EBA">
              <w:rPr>
                <w:i/>
                <w:iCs/>
              </w:rPr>
              <w:t>In vitro</w:t>
            </w:r>
            <w:r w:rsidRPr="00622D3E">
              <w:t xml:space="preserve"> models:</w:t>
            </w:r>
            <w:r w:rsidRPr="00622D3E">
              <w:br/>
              <w:t xml:space="preserve">Cytotoxicity </w:t>
            </w:r>
            <w:r w:rsidRPr="00622D3E">
              <w:br/>
              <w:t>(USP &lt;87&gt;, &lt;1031&gt;)</w:t>
            </w:r>
          </w:p>
          <w:p w14:paraId="2CE73D9C" w14:textId="77777777" w:rsidR="00A47BF8" w:rsidRPr="00622D3E" w:rsidRDefault="00A47BF8" w:rsidP="00A47BF8">
            <w:pPr>
              <w:pStyle w:val="ICHTextOnly"/>
              <w:jc w:val="center"/>
            </w:pPr>
            <w:r w:rsidRPr="00622D3E">
              <w:t>Bovine corneal opacity (BCOP: OECD 437)</w:t>
            </w:r>
          </w:p>
        </w:tc>
        <w:tc>
          <w:tcPr>
            <w:tcW w:w="3965" w:type="dxa"/>
            <w:tcBorders>
              <w:top w:val="nil"/>
              <w:left w:val="nil"/>
              <w:right w:val="single" w:sz="8" w:space="0" w:color="auto"/>
            </w:tcBorders>
            <w:tcMar>
              <w:top w:w="0" w:type="dxa"/>
              <w:left w:w="108" w:type="dxa"/>
              <w:bottom w:w="0" w:type="dxa"/>
              <w:right w:w="108" w:type="dxa"/>
            </w:tcMar>
            <w:hideMark/>
          </w:tcPr>
          <w:p w14:paraId="3E335892" w14:textId="77777777" w:rsidR="00A47BF8" w:rsidRPr="00622D3E" w:rsidRDefault="00A47BF8" w:rsidP="00A47BF8">
            <w:pPr>
              <w:pStyle w:val="ICHTextOnly"/>
              <w:jc w:val="center"/>
            </w:pPr>
            <w:r w:rsidRPr="695951DC">
              <w:t>Toxicological qualification study(ies) as described in ICH Q3A and Q3B should be considered</w:t>
            </w:r>
          </w:p>
          <w:p w14:paraId="52D9BD24" w14:textId="77777777" w:rsidR="00A47BF8" w:rsidRPr="00622D3E" w:rsidRDefault="00A47BF8" w:rsidP="00A47BF8">
            <w:pPr>
              <w:pStyle w:val="ICHTextOnly"/>
              <w:jc w:val="center"/>
            </w:pPr>
            <w:r w:rsidRPr="00622D3E">
              <w:t xml:space="preserve">Local Tolerance as assessed according to other standards </w:t>
            </w:r>
            <w:r w:rsidRPr="00622D3E">
              <w:br/>
              <w:t>(such as ISO 10993)</w:t>
            </w:r>
          </w:p>
          <w:p w14:paraId="063A01B2" w14:textId="77777777" w:rsidR="00A47BF8" w:rsidRPr="00622D3E" w:rsidRDefault="00A47BF8" w:rsidP="00A47BF8">
            <w:pPr>
              <w:pStyle w:val="ICHTextOnly"/>
              <w:jc w:val="center"/>
            </w:pPr>
          </w:p>
        </w:tc>
      </w:tr>
      <w:tr w:rsidR="00A47BF8" w:rsidRPr="00622D3E" w14:paraId="2BB28F45" w14:textId="77777777" w:rsidTr="00383F9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776DC6" w14:textId="77777777" w:rsidR="00A47BF8" w:rsidRPr="00622D3E" w:rsidRDefault="00A47BF8" w:rsidP="00A47BF8">
            <w:pPr>
              <w:pStyle w:val="ICHTextOnly"/>
              <w:jc w:val="center"/>
            </w:pPr>
            <w:r w:rsidRPr="00622D3E">
              <w:t>Genotoxicity</w:t>
            </w:r>
          </w:p>
        </w:tc>
        <w:tc>
          <w:tcPr>
            <w:tcW w:w="3865" w:type="dxa"/>
            <w:tcBorders>
              <w:top w:val="nil"/>
              <w:left w:val="nil"/>
              <w:bottom w:val="single" w:sz="8" w:space="0" w:color="auto"/>
              <w:right w:val="single" w:sz="8" w:space="0" w:color="auto"/>
            </w:tcBorders>
            <w:tcMar>
              <w:top w:w="0" w:type="dxa"/>
              <w:left w:w="108" w:type="dxa"/>
              <w:bottom w:w="0" w:type="dxa"/>
              <w:right w:w="108" w:type="dxa"/>
            </w:tcMar>
          </w:tcPr>
          <w:p w14:paraId="4BBB2104" w14:textId="77777777" w:rsidR="00A47BF8" w:rsidRPr="00622D3E" w:rsidRDefault="00A47BF8" w:rsidP="00A47BF8">
            <w:pPr>
              <w:pStyle w:val="ICHTextOnly"/>
              <w:jc w:val="center"/>
            </w:pPr>
            <w:r w:rsidRPr="00EC5EBA">
              <w:rPr>
                <w:i/>
                <w:iCs/>
              </w:rPr>
              <w:t>In silico</w:t>
            </w:r>
            <w:r w:rsidRPr="00622D3E">
              <w:t xml:space="preserve"> models as per ICH M7</w:t>
            </w:r>
          </w:p>
        </w:tc>
        <w:tc>
          <w:tcPr>
            <w:tcW w:w="3965" w:type="dxa"/>
            <w:tcBorders>
              <w:top w:val="nil"/>
              <w:left w:val="nil"/>
              <w:bottom w:val="single" w:sz="8" w:space="0" w:color="auto"/>
              <w:right w:val="single" w:sz="8" w:space="0" w:color="auto"/>
            </w:tcBorders>
            <w:tcMar>
              <w:top w:w="0" w:type="dxa"/>
              <w:left w:w="108" w:type="dxa"/>
              <w:bottom w:w="0" w:type="dxa"/>
              <w:right w:w="108" w:type="dxa"/>
            </w:tcMar>
          </w:tcPr>
          <w:p w14:paraId="64EE795B" w14:textId="77777777" w:rsidR="00A47BF8" w:rsidRPr="00622D3E" w:rsidRDefault="00A47BF8" w:rsidP="00A47BF8">
            <w:pPr>
              <w:pStyle w:val="ICHTextOnly"/>
              <w:jc w:val="center"/>
            </w:pPr>
            <w:r w:rsidRPr="00622D3E">
              <w:t>Refer to ICH M7</w:t>
            </w:r>
          </w:p>
        </w:tc>
      </w:tr>
    </w:tbl>
    <w:p w14:paraId="3BEEBC48" w14:textId="77777777" w:rsidR="008913CB" w:rsidRPr="008913CB" w:rsidRDefault="008913CB" w:rsidP="008913CB">
      <w:pPr>
        <w:pStyle w:val="ICHTextOnly"/>
        <w:rPr>
          <w:b/>
          <w:bCs/>
        </w:rPr>
      </w:pPr>
    </w:p>
    <w:p w14:paraId="33CBB4BF" w14:textId="1E8C37C5" w:rsidR="00554F59" w:rsidRPr="007737C1" w:rsidRDefault="00816AE6" w:rsidP="007737C1">
      <w:pPr>
        <w:pStyle w:val="Heading1"/>
        <w:numPr>
          <w:ilvl w:val="0"/>
          <w:numId w:val="0"/>
        </w:numPr>
      </w:pPr>
      <w:r>
        <w:br w:type="page"/>
      </w:r>
      <w:bookmarkStart w:id="46" w:name="_Toc201662535"/>
      <w:r w:rsidR="00554F59" w:rsidRPr="007737C1">
        <w:lastRenderedPageBreak/>
        <w:t>Appendix 6</w:t>
      </w:r>
      <w:r w:rsidR="00EB0456" w:rsidRPr="007737C1">
        <w:t>: Monographs for Class 1 Leachables</w:t>
      </w:r>
      <w:bookmarkEnd w:id="46"/>
    </w:p>
    <w:p w14:paraId="3A5326C0" w14:textId="77777777" w:rsidR="00F476C5" w:rsidRDefault="00CA5357" w:rsidP="00CA5357">
      <w:pPr>
        <w:pStyle w:val="ICHTextOnly"/>
      </w:pPr>
      <w:r w:rsidRPr="00CA5357">
        <w:rPr>
          <w:b/>
          <w:bCs/>
          <w:lang w:val="en-US"/>
        </w:rPr>
        <w:t>Benzo[a]pyrene</w:t>
      </w:r>
      <w:r w:rsidRPr="00CA5357">
        <w:t> </w:t>
      </w:r>
    </w:p>
    <w:p w14:paraId="7B61BBD5" w14:textId="1DE54543" w:rsidR="00F476C5" w:rsidRDefault="00CA5357" w:rsidP="00CA5357">
      <w:pPr>
        <w:pStyle w:val="ICHTextOnly"/>
      </w:pPr>
      <w:r w:rsidRPr="00CA5357">
        <w:br/>
        <w:t> </w:t>
      </w:r>
      <w:r w:rsidR="00F476C5" w:rsidRPr="00F476C5">
        <w:rPr>
          <w:noProof/>
        </w:rPr>
        <w:drawing>
          <wp:inline distT="0" distB="0" distL="0" distR="0" wp14:anchorId="44477FA1" wp14:editId="5FDAE469">
            <wp:extent cx="1902206" cy="1019175"/>
            <wp:effectExtent l="0" t="0" r="3175" b="0"/>
            <wp:docPr id="2056109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09909"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1934599" cy="1036531"/>
                    </a:xfrm>
                    <a:prstGeom prst="rect">
                      <a:avLst/>
                    </a:prstGeom>
                  </pic:spPr>
                </pic:pic>
              </a:graphicData>
            </a:graphic>
          </wp:inline>
        </w:drawing>
      </w:r>
    </w:p>
    <w:p w14:paraId="58192B10" w14:textId="6C9A6D58" w:rsidR="00CA5357" w:rsidRPr="00CA5357" w:rsidRDefault="00CA5357" w:rsidP="00CA5357">
      <w:pPr>
        <w:pStyle w:val="ICHTextOnly"/>
      </w:pPr>
      <w:r w:rsidRPr="00CA5357">
        <w:br/>
      </w:r>
      <w:r w:rsidRPr="00CA5357">
        <w:rPr>
          <w:b/>
          <w:bCs/>
        </w:rPr>
        <w:t xml:space="preserve">Summary of </w:t>
      </w:r>
      <w:r w:rsidR="003C59D0" w:rsidRPr="003C59D0">
        <w:rPr>
          <w:b/>
          <w:bCs/>
        </w:rPr>
        <w:t>Acute Acceptable Exposure</w:t>
      </w:r>
      <w:r w:rsidR="00272A50">
        <w:rPr>
          <w:b/>
          <w:bCs/>
        </w:rPr>
        <w:t xml:space="preserve"> Level</w:t>
      </w:r>
      <w:r w:rsidR="003C59D0" w:rsidRPr="003C59D0">
        <w:rPr>
          <w:b/>
          <w:bCs/>
        </w:rPr>
        <w:t xml:space="preserve"> and Chronic PDE </w:t>
      </w:r>
      <w:r w:rsidRPr="00CA5357">
        <w:rPr>
          <w:b/>
          <w:bCs/>
        </w:rPr>
        <w:t xml:space="preserve">Values for </w:t>
      </w:r>
      <w:r w:rsidRPr="00CA5357">
        <w:rPr>
          <w:b/>
          <w:bCs/>
          <w:lang w:val="en-US"/>
        </w:rPr>
        <w:t xml:space="preserve">Benzo[a]pyrene </w:t>
      </w:r>
      <w:r w:rsidRPr="00CA5357">
        <w:rPr>
          <w:b/>
          <w:bCs/>
        </w:rPr>
        <w:t xml:space="preserve">(CAS# </w:t>
      </w:r>
      <w:r w:rsidRPr="00CA5357">
        <w:rPr>
          <w:b/>
          <w:bCs/>
          <w:lang w:val="en-US"/>
        </w:rPr>
        <w:t>50-32-8</w:t>
      </w:r>
      <w:r w:rsidRPr="00CA5357">
        <w:rPr>
          <w:b/>
          <w:bCs/>
        </w:rPr>
        <w:t>)</w:t>
      </w:r>
      <w:r w:rsidRPr="00CA535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2535"/>
        <w:gridCol w:w="2565"/>
      </w:tblGrid>
      <w:tr w:rsidR="00CA5357" w:rsidRPr="00CA5357" w14:paraId="0C6851DB" w14:textId="77777777" w:rsidTr="005404AC">
        <w:trPr>
          <w:trHeight w:val="300"/>
        </w:trPr>
        <w:tc>
          <w:tcPr>
            <w:tcW w:w="7635"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5895F86D" w14:textId="7B87530D" w:rsidR="00CA5357" w:rsidRPr="00CA5357" w:rsidRDefault="00CA5357" w:rsidP="005404AC">
            <w:pPr>
              <w:pStyle w:val="ICHTextOnly"/>
              <w:jc w:val="center"/>
              <w:divId w:val="8023544"/>
            </w:pPr>
            <w:r w:rsidRPr="00CA5357">
              <w:rPr>
                <w:b/>
                <w:bCs/>
                <w:lang w:val="en-US"/>
              </w:rPr>
              <w:t>Benzo[a]pyrene</w:t>
            </w:r>
          </w:p>
        </w:tc>
      </w:tr>
      <w:tr w:rsidR="00CA5357" w:rsidRPr="00CA5357" w14:paraId="7589A17F" w14:textId="77777777" w:rsidTr="005404AC">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18F363" w14:textId="7C40C916" w:rsidR="00CA5357" w:rsidRPr="005404AC" w:rsidRDefault="00DF7815" w:rsidP="005404AC">
            <w:pPr>
              <w:pStyle w:val="ICHTextOnly"/>
              <w:jc w:val="center"/>
              <w:rPr>
                <w:b/>
                <w:bCs/>
              </w:rPr>
            </w:pPr>
            <w:r>
              <w:rPr>
                <w:b/>
                <w:bCs/>
              </w:rPr>
              <w:t xml:space="preserve">Administration </w:t>
            </w:r>
            <w:r w:rsidRPr="005404AC">
              <w:rPr>
                <w:b/>
                <w:bCs/>
              </w:rPr>
              <w:t>Route</w:t>
            </w:r>
          </w:p>
        </w:tc>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3DD29C" w14:textId="4C66195B" w:rsidR="00CA5357" w:rsidRPr="00CA5357" w:rsidRDefault="00CA5357" w:rsidP="005404AC">
            <w:pPr>
              <w:pStyle w:val="ICHTextOnly"/>
              <w:jc w:val="center"/>
            </w:pPr>
            <w:r w:rsidRPr="00CA5357">
              <w:rPr>
                <w:b/>
                <w:bCs/>
              </w:rPr>
              <w:t>Oral </w:t>
            </w:r>
            <w:r w:rsidR="00E0720C" w:rsidRPr="00CA5357">
              <w:rPr>
                <w:b/>
                <w:bCs/>
              </w:rPr>
              <w:t>(µg/day)</w:t>
            </w:r>
          </w:p>
        </w:tc>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C5ACF8" w14:textId="788A7C6E" w:rsidR="00CA5357" w:rsidRPr="00CA5357" w:rsidRDefault="00CA5357" w:rsidP="005404AC">
            <w:pPr>
              <w:pStyle w:val="ICHTextOnly"/>
              <w:jc w:val="center"/>
            </w:pPr>
            <w:r w:rsidRPr="00CA5357">
              <w:rPr>
                <w:b/>
                <w:bCs/>
              </w:rPr>
              <w:t>Parenteral</w:t>
            </w:r>
            <w:r w:rsidRPr="00CA5357">
              <w:t> </w:t>
            </w:r>
            <w:r w:rsidR="00E0720C" w:rsidRPr="00CA5357">
              <w:rPr>
                <w:b/>
                <w:bCs/>
              </w:rPr>
              <w:t>(µg/day)</w:t>
            </w:r>
          </w:p>
        </w:tc>
      </w:tr>
      <w:tr w:rsidR="00CA5357" w:rsidRPr="00CA5357" w14:paraId="507A8939" w14:textId="77777777" w:rsidTr="005404AC">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58BA2" w14:textId="0716242A" w:rsidR="00CA5357" w:rsidRPr="00CA5357" w:rsidRDefault="00CA5357" w:rsidP="005404AC">
            <w:pPr>
              <w:pStyle w:val="ICHTextOnly"/>
              <w:jc w:val="center"/>
            </w:pPr>
            <w:r w:rsidRPr="00CA5357">
              <w:rPr>
                <w:b/>
                <w:bCs/>
              </w:rPr>
              <w:t>Acute</w:t>
            </w:r>
            <w:r w:rsidR="0016332F">
              <w:rPr>
                <w:b/>
                <w:bCs/>
              </w:rPr>
              <w:t xml:space="preserve"> Acceptable Exposure</w:t>
            </w:r>
            <w:r w:rsidR="00272A50">
              <w:rPr>
                <w:b/>
                <w:bCs/>
              </w:rPr>
              <w:t xml:space="preserve"> Level</w:t>
            </w:r>
            <w:r w:rsidRPr="00CA5357">
              <w:rPr>
                <w:b/>
                <w:bCs/>
              </w:rPr>
              <w:t>*</w:t>
            </w:r>
          </w:p>
        </w:tc>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CAA17D" w14:textId="3A33B3B2" w:rsidR="00CA5357" w:rsidRPr="00CA5357" w:rsidRDefault="00CA5357" w:rsidP="005404AC">
            <w:pPr>
              <w:pStyle w:val="ICHTextOnly"/>
              <w:jc w:val="center"/>
            </w:pPr>
            <w:r w:rsidRPr="00CA5357">
              <w:rPr>
                <w:lang w:val="en-US"/>
              </w:rPr>
              <w:t>13</w:t>
            </w:r>
          </w:p>
        </w:tc>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A217DE" w14:textId="6C817A05" w:rsidR="00CA5357" w:rsidRPr="00CA5357" w:rsidRDefault="00CA5357" w:rsidP="005404AC">
            <w:pPr>
              <w:pStyle w:val="ICHTextOnly"/>
              <w:jc w:val="center"/>
            </w:pPr>
            <w:r w:rsidRPr="00CA5357">
              <w:rPr>
                <w:lang w:val="en-US"/>
              </w:rPr>
              <w:t>1.3</w:t>
            </w:r>
          </w:p>
        </w:tc>
      </w:tr>
      <w:tr w:rsidR="00CA5357" w:rsidRPr="00CA5357" w14:paraId="31437464" w14:textId="77777777" w:rsidTr="005404AC">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EF26ED" w14:textId="3E330129" w:rsidR="00CA5357" w:rsidRPr="00CA5357" w:rsidRDefault="00CA5357" w:rsidP="005404AC">
            <w:pPr>
              <w:pStyle w:val="ICHTextOnly"/>
              <w:jc w:val="center"/>
            </w:pPr>
            <w:r w:rsidRPr="00CA5357">
              <w:rPr>
                <w:b/>
                <w:bCs/>
              </w:rPr>
              <w:t>Chronic</w:t>
            </w:r>
            <w:r w:rsidR="00E0720C">
              <w:rPr>
                <w:b/>
                <w:bCs/>
              </w:rPr>
              <w:t xml:space="preserve"> PDE</w:t>
            </w:r>
          </w:p>
        </w:tc>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5160E" w14:textId="45C058BD" w:rsidR="00CA5357" w:rsidRPr="00CA5357" w:rsidRDefault="00CA5357" w:rsidP="005404AC">
            <w:pPr>
              <w:pStyle w:val="ICHTextOnly"/>
              <w:jc w:val="center"/>
            </w:pPr>
            <w:r w:rsidRPr="00CA5357">
              <w:rPr>
                <w:lang w:val="en-US"/>
              </w:rPr>
              <w:t>2.6</w:t>
            </w:r>
          </w:p>
        </w:tc>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C0D9F" w14:textId="7F191223" w:rsidR="00CA5357" w:rsidRPr="00CA5357" w:rsidRDefault="00CA5357" w:rsidP="005404AC">
            <w:pPr>
              <w:pStyle w:val="ICHTextOnly"/>
              <w:jc w:val="center"/>
            </w:pPr>
            <w:r w:rsidRPr="00CA5357">
              <w:rPr>
                <w:lang w:val="en-US"/>
              </w:rPr>
              <w:t>0.26</w:t>
            </w:r>
          </w:p>
        </w:tc>
      </w:tr>
    </w:tbl>
    <w:p w14:paraId="1801E9AC" w14:textId="0BD2084D" w:rsidR="00CA5357" w:rsidRPr="00CA5357" w:rsidRDefault="00CA5357" w:rsidP="001F30BC">
      <w:pPr>
        <w:pStyle w:val="ICHTextOnly"/>
        <w:spacing w:after="240"/>
      </w:pPr>
      <w:r w:rsidRPr="00CA5357">
        <w:t xml:space="preserve">*Acute </w:t>
      </w:r>
      <w:r w:rsidR="00DF7815">
        <w:t xml:space="preserve">acceptable exposure </w:t>
      </w:r>
      <w:r w:rsidR="00341779">
        <w:t>level</w:t>
      </w:r>
      <w:r w:rsidR="00341779" w:rsidRPr="00CA5357">
        <w:t xml:space="preserve"> </w:t>
      </w:r>
      <w:r w:rsidRPr="00CA5357">
        <w:t>is applicable to ≤1-month daily administration  </w:t>
      </w:r>
    </w:p>
    <w:p w14:paraId="1C6E31EB" w14:textId="77777777" w:rsidR="00CA5357" w:rsidRPr="00CA5357" w:rsidRDefault="00CA5357" w:rsidP="00CA5357">
      <w:pPr>
        <w:pStyle w:val="ICHTextOnly"/>
      </w:pPr>
      <w:r w:rsidRPr="00CA5357">
        <w:rPr>
          <w:b/>
          <w:bCs/>
        </w:rPr>
        <w:t>Introduction </w:t>
      </w:r>
      <w:r w:rsidRPr="00CA5357">
        <w:t> </w:t>
      </w:r>
    </w:p>
    <w:p w14:paraId="5CF35F85" w14:textId="73F75F9C" w:rsidR="0041744B" w:rsidRPr="00CA5357" w:rsidRDefault="00CA5357" w:rsidP="00C05618">
      <w:pPr>
        <w:pStyle w:val="ICHTextOnly"/>
        <w:spacing w:after="240"/>
      </w:pPr>
      <w:r w:rsidRPr="00CA5357">
        <w:t>Benzo[a]pyrene (</w:t>
      </w:r>
      <w:proofErr w:type="spellStart"/>
      <w:r w:rsidRPr="00CA5357">
        <w:t>BaP</w:t>
      </w:r>
      <w:proofErr w:type="spellEnd"/>
      <w:r w:rsidRPr="00CA5357">
        <w:t xml:space="preserve">) is a polycyclic aromatic hydrocarbon (PAH) consisting of five fused benzene rings. It is not produced or used commercially but is formed as a result of incomplete combustion of organic matter.  </w:t>
      </w:r>
      <w:proofErr w:type="spellStart"/>
      <w:r w:rsidRPr="00CA5357">
        <w:t>BaP</w:t>
      </w:r>
      <w:proofErr w:type="spellEnd"/>
      <w:r w:rsidRPr="00CA5357">
        <w:t xml:space="preserve"> may leach from </w:t>
      </w:r>
      <w:r w:rsidR="00A54041">
        <w:t>materials</w:t>
      </w:r>
      <w:r w:rsidR="00A54041" w:rsidRPr="00CA5357">
        <w:t xml:space="preserve"> </w:t>
      </w:r>
      <w:r w:rsidRPr="00CA5357">
        <w:t>in which carbon black is present. </w:t>
      </w:r>
    </w:p>
    <w:p w14:paraId="209A556A" w14:textId="01BE6BAF" w:rsidR="00514D54" w:rsidRPr="00CA5357" w:rsidRDefault="00CA5357" w:rsidP="00C05618">
      <w:pPr>
        <w:pStyle w:val="ICHTextOnly"/>
        <w:spacing w:after="240"/>
      </w:pPr>
      <w:proofErr w:type="spellStart"/>
      <w:r w:rsidRPr="00CA5357">
        <w:rPr>
          <w:lang w:val="en-US"/>
        </w:rPr>
        <w:t>BaP</w:t>
      </w:r>
      <w:proofErr w:type="spellEnd"/>
      <w:r w:rsidRPr="00CA5357">
        <w:rPr>
          <w:lang w:val="en-US"/>
        </w:rPr>
        <w:t xml:space="preserve"> </w:t>
      </w:r>
      <w:r w:rsidRPr="00CA5357">
        <w:t>is a mutagenic carcinogen and as such</w:t>
      </w:r>
      <w:r w:rsidR="00B9583B">
        <w:t>,</w:t>
      </w:r>
      <w:r w:rsidRPr="00CA5357">
        <w:t xml:space="preserve"> control according to the current version of ICH M7 is appropriate</w:t>
      </w:r>
      <w:r w:rsidR="0041744B">
        <w:t>,</w:t>
      </w:r>
      <w:r w:rsidRPr="00CA5357">
        <w:t xml:space="preserve"> in addition to the relevant </w:t>
      </w:r>
      <w:r w:rsidR="00811916">
        <w:t xml:space="preserve">Acceptable Exposure or </w:t>
      </w:r>
      <w:r w:rsidRPr="00CA5357">
        <w:t xml:space="preserve">PDE </w:t>
      </w:r>
      <w:r w:rsidR="00811916">
        <w:t xml:space="preserve">values </w:t>
      </w:r>
      <w:r w:rsidRPr="00CA5357">
        <w:t>derived below.</w:t>
      </w:r>
      <w:r w:rsidRPr="00CA5357">
        <w:rPr>
          <w:lang w:val="en-US"/>
        </w:rPr>
        <w:t xml:space="preserve"> </w:t>
      </w:r>
      <w:r w:rsidR="004240DB">
        <w:rPr>
          <w:lang w:val="en-US"/>
        </w:rPr>
        <w:t>B</w:t>
      </w:r>
      <w:r w:rsidR="004240DB" w:rsidRPr="00CA5357">
        <w:rPr>
          <w:lang w:val="en-US"/>
        </w:rPr>
        <w:t>ased on a non-mutagenic endpoint</w:t>
      </w:r>
      <w:r w:rsidR="004240DB">
        <w:rPr>
          <w:lang w:val="en-US"/>
        </w:rPr>
        <w:t>, t</w:t>
      </w:r>
      <w:r w:rsidR="00B670C1">
        <w:rPr>
          <w:lang w:val="en-US"/>
        </w:rPr>
        <w:t>wo oral and two parenteral</w:t>
      </w:r>
      <w:r w:rsidR="00B670C1" w:rsidRPr="00CA5357">
        <w:rPr>
          <w:lang w:val="en-US"/>
        </w:rPr>
        <w:t xml:space="preserve"> </w:t>
      </w:r>
      <w:r w:rsidR="00B670C1">
        <w:rPr>
          <w:lang w:val="en-US"/>
        </w:rPr>
        <w:t>values</w:t>
      </w:r>
      <w:r w:rsidR="00B670C1" w:rsidRPr="00CA5357">
        <w:rPr>
          <w:lang w:val="en-US"/>
        </w:rPr>
        <w:t xml:space="preserve"> </w:t>
      </w:r>
      <w:r w:rsidRPr="00CA5357">
        <w:rPr>
          <w:lang w:val="en-US"/>
        </w:rPr>
        <w:t xml:space="preserve">for </w:t>
      </w:r>
      <w:proofErr w:type="spellStart"/>
      <w:r w:rsidRPr="00CA5357">
        <w:rPr>
          <w:lang w:val="en-US"/>
        </w:rPr>
        <w:t>BaP</w:t>
      </w:r>
      <w:proofErr w:type="spellEnd"/>
      <w:r w:rsidRPr="00CA5357">
        <w:rPr>
          <w:lang w:val="en-US"/>
        </w:rPr>
        <w:t xml:space="preserve"> were developed for ICH Q3E.</w:t>
      </w:r>
      <w:r w:rsidRPr="00CA5357">
        <w:t> </w:t>
      </w:r>
    </w:p>
    <w:p w14:paraId="3BB149B5" w14:textId="77777777" w:rsidR="00CA5357" w:rsidRPr="00CA5357" w:rsidRDefault="00CA5357" w:rsidP="00CA5357">
      <w:pPr>
        <w:pStyle w:val="ICHTextOnly"/>
      </w:pPr>
      <w:r w:rsidRPr="00CA5357">
        <w:rPr>
          <w:b/>
          <w:bCs/>
        </w:rPr>
        <w:t>Safety Summary and Limiting Non-Mutagenic Toxicity </w:t>
      </w:r>
      <w:r w:rsidRPr="00CA5357">
        <w:t> </w:t>
      </w:r>
    </w:p>
    <w:p w14:paraId="1B6567E4" w14:textId="77777777" w:rsidR="00CA5357" w:rsidRPr="00CA5357" w:rsidRDefault="00CA5357" w:rsidP="00CA5357">
      <w:pPr>
        <w:pStyle w:val="ICHTextOnly"/>
      </w:pPr>
      <w:r w:rsidRPr="00CA5357">
        <w:t xml:space="preserve">Oral exposure to </w:t>
      </w:r>
      <w:proofErr w:type="spellStart"/>
      <w:r w:rsidRPr="00CA5357">
        <w:t>BaP</w:t>
      </w:r>
      <w:proofErr w:type="spellEnd"/>
      <w:r w:rsidRPr="00CA5357">
        <w:t xml:space="preserve"> has been shown to result in developmental toxicity (including developmental neurotoxicity), reproductive toxicity, and immunotoxicity in repeat dose toxicity studies, including adult and juvenile animals.  Overall, human studies report toxicological effects that are generally analogous to those observed in animals, and provide qualitative, supportive evidence for hazards associated with </w:t>
      </w:r>
      <w:proofErr w:type="spellStart"/>
      <w:r w:rsidRPr="00CA5357">
        <w:t>BaP</w:t>
      </w:r>
      <w:proofErr w:type="spellEnd"/>
      <w:r w:rsidRPr="00CA5357">
        <w:t xml:space="preserve"> exposure.  </w:t>
      </w:r>
    </w:p>
    <w:p w14:paraId="1C4F6614" w14:textId="7041360C" w:rsidR="00CA5357" w:rsidRPr="00CA5357" w:rsidRDefault="00CA5357" w:rsidP="00C05618">
      <w:pPr>
        <w:pStyle w:val="ICHTextOnly"/>
        <w:spacing w:after="240"/>
      </w:pPr>
      <w:r w:rsidRPr="00CA5357">
        <w:rPr>
          <w:lang w:val="en-US"/>
        </w:rPr>
        <w:t xml:space="preserve">Based on critical non-mutagenic effects of </w:t>
      </w:r>
      <w:proofErr w:type="spellStart"/>
      <w:r w:rsidRPr="00CA5357">
        <w:rPr>
          <w:lang w:val="en-US"/>
        </w:rPr>
        <w:t>BaP</w:t>
      </w:r>
      <w:proofErr w:type="spellEnd"/>
      <w:r w:rsidRPr="00CA5357">
        <w:rPr>
          <w:lang w:val="en-US"/>
        </w:rPr>
        <w:t xml:space="preserve">, the non-GLP oral developmental toxicity study </w:t>
      </w:r>
      <w:r w:rsidRPr="00CA5357">
        <w:rPr>
          <w:lang w:val="en-US"/>
        </w:rPr>
        <w:lastRenderedPageBreak/>
        <w:t>in neonatal rat (Chen et al.</w:t>
      </w:r>
      <w:r w:rsidR="00E5296E">
        <w:rPr>
          <w:lang w:val="en-US"/>
        </w:rPr>
        <w:t>,</w:t>
      </w:r>
      <w:r w:rsidRPr="00CA5357">
        <w:rPr>
          <w:lang w:val="en-US"/>
        </w:rPr>
        <w:t xml:space="preserve"> 2012) was selected as the </w:t>
      </w:r>
      <w:proofErr w:type="spellStart"/>
      <w:r w:rsidRPr="00CA5357">
        <w:rPr>
          <w:lang w:val="en-US"/>
        </w:rPr>
        <w:t>P</w:t>
      </w:r>
      <w:r w:rsidR="00AF4159">
        <w:rPr>
          <w:lang w:val="en-US"/>
        </w:rPr>
        <w:t>o</w:t>
      </w:r>
      <w:r w:rsidRPr="00CA5357">
        <w:rPr>
          <w:lang w:val="en-US"/>
        </w:rPr>
        <w:t>D</w:t>
      </w:r>
      <w:proofErr w:type="spellEnd"/>
      <w:r w:rsidRPr="00CA5357">
        <w:rPr>
          <w:lang w:val="en-US"/>
        </w:rPr>
        <w:t xml:space="preserve"> study for oral and parenteral PDE derivation. </w:t>
      </w:r>
      <w:r w:rsidRPr="00CA5357">
        <w:t> </w:t>
      </w:r>
    </w:p>
    <w:p w14:paraId="2D0BD559" w14:textId="33F73F9F" w:rsidR="00CA5357" w:rsidRPr="00CA5357" w:rsidRDefault="00455A9B" w:rsidP="00CA5357">
      <w:pPr>
        <w:pStyle w:val="ICHTextOnly"/>
      </w:pPr>
      <w:r>
        <w:rPr>
          <w:b/>
          <w:bCs/>
        </w:rPr>
        <w:t xml:space="preserve">Oral Acceptable Exposure and </w:t>
      </w:r>
      <w:r w:rsidR="00CA5357" w:rsidRPr="00CA5357">
        <w:rPr>
          <w:b/>
          <w:bCs/>
        </w:rPr>
        <w:t xml:space="preserve">PDE </w:t>
      </w:r>
    </w:p>
    <w:p w14:paraId="2837BAB8" w14:textId="77777777" w:rsidR="00000524" w:rsidRDefault="00CA5357" w:rsidP="00CA5357">
      <w:pPr>
        <w:pStyle w:val="ICHTextOnly"/>
      </w:pPr>
      <w:r w:rsidRPr="00CA5357">
        <w:rPr>
          <w:lang w:val="en-US"/>
        </w:rPr>
        <w:t xml:space="preserve">The rat neurodevelopmental study by Chen et al., 2012 administered doses of </w:t>
      </w:r>
      <w:proofErr w:type="spellStart"/>
      <w:r w:rsidRPr="00CA5357">
        <w:rPr>
          <w:lang w:val="en-US"/>
        </w:rPr>
        <w:t>BaP</w:t>
      </w:r>
      <w:proofErr w:type="spellEnd"/>
      <w:r w:rsidRPr="00CA5357">
        <w:rPr>
          <w:lang w:val="en-US"/>
        </w:rPr>
        <w:t xml:space="preserve"> at 0, </w:t>
      </w:r>
      <w:r w:rsidRPr="00CA5357">
        <w:t xml:space="preserve">0.02 mg/kg, 0.2 mg/kg, and 2 mg/kg on postnatal day 5 to 11 by oral gavage.  </w:t>
      </w:r>
      <w:r w:rsidRPr="00CA5357">
        <w:rPr>
          <w:lang w:val="en-US"/>
        </w:rPr>
        <w:t xml:space="preserve">Altered responses in three behavioral tests (Morris water maze, elevated plus maze, and open field tests) were selected to represent the critical effect of abnormal behavior, due to the consistency of the observations across groups/studies (i.e., each of these responses were affected in two separate cohorts of rats, including testing as juveniles and as adults; similar effects in these behavioral tests were observed across studies) and sensitivity of these responses, and the observed dose-response relationship of effects across dose groups. Benchmark dose (BMD) modeling for each of the three endpoints resulted in </w:t>
      </w:r>
      <w:r w:rsidR="00000524" w:rsidRPr="00000524">
        <w:t>BMD lower bound for 1 standard deviation (BMDL1SD</w:t>
      </w:r>
      <w:r w:rsidR="00000524">
        <w:t>)</w:t>
      </w:r>
    </w:p>
    <w:p w14:paraId="7166F47B" w14:textId="5030A41A" w:rsidR="004240DB" w:rsidRPr="00CA5357" w:rsidRDefault="00CA5357" w:rsidP="001F30BC">
      <w:pPr>
        <w:pStyle w:val="ICHTextOnly"/>
        <w:spacing w:after="240"/>
      </w:pPr>
      <w:r w:rsidRPr="00CA5357">
        <w:rPr>
          <w:lang w:val="en-US"/>
        </w:rPr>
        <w:t xml:space="preserve"> values in the range 0.092−0.16 mg/kg-day. Taking the lower end of the range, 0.092 mg/kg-day, was selected to represent the </w:t>
      </w:r>
      <w:proofErr w:type="spellStart"/>
      <w:r w:rsidRPr="00CA5357">
        <w:rPr>
          <w:lang w:val="en-US"/>
        </w:rPr>
        <w:t>P</w:t>
      </w:r>
      <w:r w:rsidR="00AF4159">
        <w:rPr>
          <w:lang w:val="en-US"/>
        </w:rPr>
        <w:t>o</w:t>
      </w:r>
      <w:r w:rsidRPr="00CA5357">
        <w:rPr>
          <w:lang w:val="en-US"/>
        </w:rPr>
        <w:t>D</w:t>
      </w:r>
      <w:proofErr w:type="spellEnd"/>
      <w:r w:rsidRPr="00CA5357">
        <w:rPr>
          <w:lang w:val="en-US"/>
        </w:rPr>
        <w:t xml:space="preserve"> from the neurodevelopmental study. </w:t>
      </w:r>
      <w:r w:rsidRPr="00CA5357">
        <w:t> </w:t>
      </w:r>
    </w:p>
    <w:tbl>
      <w:tblPr>
        <w:tblW w:w="90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CA5357" w:rsidRPr="00CA5357" w14:paraId="35909713" w14:textId="77777777" w:rsidTr="00127807">
        <w:trPr>
          <w:trHeight w:val="300"/>
          <w:jc w:val="center"/>
        </w:trPr>
        <w:tc>
          <w:tcPr>
            <w:tcW w:w="90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C0E7FC" w14:textId="42DBAC25" w:rsidR="00CA5357" w:rsidRPr="00455A9B" w:rsidRDefault="00CA5357" w:rsidP="00783D60">
            <w:pPr>
              <w:pStyle w:val="ICHTextOnly"/>
              <w:jc w:val="left"/>
              <w:divId w:val="114758641"/>
              <w:rPr>
                <w:b/>
                <w:bCs/>
              </w:rPr>
            </w:pPr>
            <w:r w:rsidRPr="00CA5357">
              <w:rPr>
                <w:b/>
                <w:bCs/>
              </w:rPr>
              <w:t>Oral Calculation</w:t>
            </w:r>
          </w:p>
        </w:tc>
      </w:tr>
      <w:tr w:rsidR="00CA5357" w:rsidRPr="00CA5357" w14:paraId="6093A546" w14:textId="77777777" w:rsidTr="00127807">
        <w:trPr>
          <w:trHeight w:val="300"/>
          <w:jc w:val="center"/>
        </w:trPr>
        <w:tc>
          <w:tcPr>
            <w:tcW w:w="4498" w:type="dxa"/>
            <w:tcBorders>
              <w:top w:val="single" w:sz="6" w:space="0" w:color="auto"/>
              <w:left w:val="single" w:sz="6" w:space="0" w:color="auto"/>
              <w:bottom w:val="single" w:sz="6" w:space="0" w:color="auto"/>
              <w:right w:val="single" w:sz="6" w:space="0" w:color="auto"/>
            </w:tcBorders>
            <w:shd w:val="clear" w:color="auto" w:fill="auto"/>
            <w:hideMark/>
          </w:tcPr>
          <w:p w14:paraId="0700764B" w14:textId="0067EEEC" w:rsidR="00CA5357" w:rsidRPr="00CA5357" w:rsidRDefault="00CA5357" w:rsidP="00783D60">
            <w:pPr>
              <w:pStyle w:val="ICHTextOnly"/>
              <w:jc w:val="left"/>
            </w:pPr>
            <w:proofErr w:type="spellStart"/>
            <w:r w:rsidRPr="00CA5357">
              <w:rPr>
                <w:b/>
                <w:bCs/>
              </w:rPr>
              <w:t>P</w:t>
            </w:r>
            <w:r w:rsidR="00AF4159">
              <w:rPr>
                <w:b/>
                <w:bCs/>
              </w:rPr>
              <w:t>o</w:t>
            </w:r>
            <w:r w:rsidRPr="00CA5357">
              <w:rPr>
                <w:b/>
                <w:bCs/>
              </w:rPr>
              <w:t>D</w:t>
            </w:r>
            <w:proofErr w:type="spellEnd"/>
          </w:p>
        </w:tc>
        <w:tc>
          <w:tcPr>
            <w:tcW w:w="4512" w:type="dxa"/>
            <w:tcBorders>
              <w:top w:val="single" w:sz="6" w:space="0" w:color="auto"/>
              <w:left w:val="single" w:sz="6" w:space="0" w:color="auto"/>
              <w:bottom w:val="single" w:sz="6" w:space="0" w:color="auto"/>
              <w:right w:val="single" w:sz="6" w:space="0" w:color="auto"/>
            </w:tcBorders>
            <w:shd w:val="clear" w:color="auto" w:fill="auto"/>
            <w:hideMark/>
          </w:tcPr>
          <w:p w14:paraId="37C6CC2D" w14:textId="2E45814B" w:rsidR="00CA5357" w:rsidRPr="00CA5357" w:rsidRDefault="00CA5357" w:rsidP="00783D60">
            <w:pPr>
              <w:pStyle w:val="ICHTextOnly"/>
              <w:jc w:val="left"/>
            </w:pPr>
            <w:r w:rsidRPr="00CA5357">
              <w:rPr>
                <w:b/>
                <w:bCs/>
              </w:rPr>
              <w:t>0.092 mg/kg/day</w:t>
            </w:r>
          </w:p>
        </w:tc>
      </w:tr>
      <w:tr w:rsidR="00CA5357" w:rsidRPr="00CA5357" w14:paraId="5112E830" w14:textId="77777777" w:rsidTr="00127807">
        <w:trPr>
          <w:trHeight w:val="300"/>
          <w:jc w:val="center"/>
        </w:trPr>
        <w:tc>
          <w:tcPr>
            <w:tcW w:w="4498" w:type="dxa"/>
            <w:tcBorders>
              <w:top w:val="single" w:sz="6" w:space="0" w:color="auto"/>
              <w:left w:val="single" w:sz="6" w:space="0" w:color="auto"/>
              <w:bottom w:val="single" w:sz="6" w:space="0" w:color="auto"/>
              <w:right w:val="single" w:sz="6" w:space="0" w:color="auto"/>
            </w:tcBorders>
            <w:shd w:val="clear" w:color="auto" w:fill="auto"/>
            <w:hideMark/>
          </w:tcPr>
          <w:p w14:paraId="1B3860D9" w14:textId="3B7DDE82" w:rsidR="00CA5357" w:rsidRPr="00CA5357" w:rsidRDefault="00CA5357" w:rsidP="00783D60">
            <w:pPr>
              <w:pStyle w:val="ICHTextOnly"/>
              <w:jc w:val="left"/>
            </w:pPr>
            <w:r w:rsidRPr="00CA5357">
              <w:rPr>
                <w:b/>
                <w:bCs/>
              </w:rPr>
              <w:t>BW</w:t>
            </w:r>
          </w:p>
        </w:tc>
        <w:tc>
          <w:tcPr>
            <w:tcW w:w="4512" w:type="dxa"/>
            <w:tcBorders>
              <w:top w:val="single" w:sz="6" w:space="0" w:color="auto"/>
              <w:left w:val="single" w:sz="6" w:space="0" w:color="auto"/>
              <w:bottom w:val="single" w:sz="6" w:space="0" w:color="auto"/>
              <w:right w:val="single" w:sz="6" w:space="0" w:color="auto"/>
            </w:tcBorders>
            <w:shd w:val="clear" w:color="auto" w:fill="auto"/>
            <w:hideMark/>
          </w:tcPr>
          <w:p w14:paraId="5CE82651" w14:textId="66CDF54B" w:rsidR="00CA5357" w:rsidRPr="00CA5357" w:rsidRDefault="00CA5357" w:rsidP="00783D60">
            <w:pPr>
              <w:pStyle w:val="ICHTextOnly"/>
              <w:jc w:val="left"/>
            </w:pPr>
            <w:r w:rsidRPr="00CA5357">
              <w:rPr>
                <w:b/>
                <w:bCs/>
              </w:rPr>
              <w:t>50 kg</w:t>
            </w:r>
          </w:p>
        </w:tc>
      </w:tr>
      <w:tr w:rsidR="00CA5357" w:rsidRPr="00CA5357" w14:paraId="4C754232" w14:textId="77777777" w:rsidTr="00127807">
        <w:trPr>
          <w:trHeight w:val="300"/>
          <w:jc w:val="center"/>
        </w:trPr>
        <w:tc>
          <w:tcPr>
            <w:tcW w:w="4498" w:type="dxa"/>
            <w:tcBorders>
              <w:top w:val="single" w:sz="6" w:space="0" w:color="auto"/>
              <w:left w:val="single" w:sz="6" w:space="0" w:color="auto"/>
              <w:bottom w:val="single" w:sz="6" w:space="0" w:color="auto"/>
              <w:right w:val="single" w:sz="6" w:space="0" w:color="auto"/>
            </w:tcBorders>
            <w:shd w:val="clear" w:color="auto" w:fill="auto"/>
            <w:hideMark/>
          </w:tcPr>
          <w:p w14:paraId="5D624F74" w14:textId="064836CF" w:rsidR="00CA5357" w:rsidRPr="00CA5357" w:rsidRDefault="00CA5357" w:rsidP="00783D60">
            <w:pPr>
              <w:pStyle w:val="ICHTextOnly"/>
              <w:jc w:val="left"/>
            </w:pPr>
            <w:r w:rsidRPr="00CA5357">
              <w:rPr>
                <w:b/>
                <w:bCs/>
              </w:rPr>
              <w:t>F1 (</w:t>
            </w:r>
            <w:r w:rsidRPr="00CA5357">
              <w:rPr>
                <w:b/>
                <w:bCs/>
                <w:lang w:val="en-US"/>
              </w:rPr>
              <w:t>juvenile</w:t>
            </w:r>
            <w:r w:rsidRPr="00CA5357">
              <w:rPr>
                <w:lang w:val="en-US"/>
              </w:rPr>
              <w:t xml:space="preserve"> </w:t>
            </w:r>
            <w:r w:rsidRPr="00CA5357">
              <w:rPr>
                <w:b/>
                <w:bCs/>
              </w:rPr>
              <w:t>rat)</w:t>
            </w:r>
          </w:p>
        </w:tc>
        <w:tc>
          <w:tcPr>
            <w:tcW w:w="4512" w:type="dxa"/>
            <w:tcBorders>
              <w:top w:val="single" w:sz="6" w:space="0" w:color="auto"/>
              <w:left w:val="single" w:sz="6" w:space="0" w:color="auto"/>
              <w:bottom w:val="single" w:sz="6" w:space="0" w:color="auto"/>
              <w:right w:val="single" w:sz="6" w:space="0" w:color="auto"/>
            </w:tcBorders>
            <w:shd w:val="clear" w:color="auto" w:fill="auto"/>
            <w:hideMark/>
          </w:tcPr>
          <w:p w14:paraId="1F8F0310" w14:textId="1B6B60A5" w:rsidR="00CA5357" w:rsidRPr="00CA5357" w:rsidRDefault="00CA5357" w:rsidP="00783D60">
            <w:pPr>
              <w:pStyle w:val="ICHTextOnly"/>
              <w:jc w:val="left"/>
            </w:pPr>
            <w:r w:rsidRPr="00CA5357">
              <w:rPr>
                <w:b/>
                <w:bCs/>
              </w:rPr>
              <w:t>7</w:t>
            </w:r>
          </w:p>
        </w:tc>
      </w:tr>
      <w:tr w:rsidR="00CA5357" w:rsidRPr="00CA5357" w14:paraId="3B6DDD82" w14:textId="77777777" w:rsidTr="00127807">
        <w:trPr>
          <w:trHeight w:val="300"/>
          <w:jc w:val="center"/>
        </w:trPr>
        <w:tc>
          <w:tcPr>
            <w:tcW w:w="4498" w:type="dxa"/>
            <w:tcBorders>
              <w:top w:val="single" w:sz="6" w:space="0" w:color="auto"/>
              <w:left w:val="single" w:sz="6" w:space="0" w:color="auto"/>
              <w:bottom w:val="single" w:sz="6" w:space="0" w:color="auto"/>
              <w:right w:val="single" w:sz="6" w:space="0" w:color="auto"/>
            </w:tcBorders>
            <w:shd w:val="clear" w:color="auto" w:fill="auto"/>
            <w:hideMark/>
          </w:tcPr>
          <w:p w14:paraId="497959A5" w14:textId="01674B53" w:rsidR="00CA5357" w:rsidRPr="00CA5357" w:rsidRDefault="00CA5357" w:rsidP="00783D60">
            <w:pPr>
              <w:pStyle w:val="ICHTextOnly"/>
              <w:jc w:val="left"/>
            </w:pPr>
            <w:r w:rsidRPr="00CA5357">
              <w:rPr>
                <w:b/>
                <w:bCs/>
              </w:rPr>
              <w:t>F2 (intra-species variability)</w:t>
            </w:r>
          </w:p>
        </w:tc>
        <w:tc>
          <w:tcPr>
            <w:tcW w:w="4512" w:type="dxa"/>
            <w:tcBorders>
              <w:top w:val="single" w:sz="6" w:space="0" w:color="auto"/>
              <w:left w:val="single" w:sz="6" w:space="0" w:color="auto"/>
              <w:bottom w:val="single" w:sz="6" w:space="0" w:color="auto"/>
              <w:right w:val="single" w:sz="6" w:space="0" w:color="auto"/>
            </w:tcBorders>
            <w:shd w:val="clear" w:color="auto" w:fill="auto"/>
            <w:hideMark/>
          </w:tcPr>
          <w:p w14:paraId="4F70F4D8" w14:textId="72C15729" w:rsidR="00CA5357" w:rsidRPr="00CA5357" w:rsidRDefault="00CA5357" w:rsidP="00783D60">
            <w:pPr>
              <w:pStyle w:val="ICHTextOnly"/>
              <w:jc w:val="left"/>
            </w:pPr>
            <w:r w:rsidRPr="00CA5357">
              <w:rPr>
                <w:b/>
                <w:bCs/>
              </w:rPr>
              <w:t>10</w:t>
            </w:r>
          </w:p>
        </w:tc>
      </w:tr>
      <w:tr w:rsidR="004240DB" w:rsidRPr="00CA5357" w14:paraId="5C16758F" w14:textId="77777777" w:rsidTr="00127807">
        <w:trPr>
          <w:trHeight w:val="374"/>
          <w:jc w:val="center"/>
        </w:trPr>
        <w:tc>
          <w:tcPr>
            <w:tcW w:w="4498" w:type="dxa"/>
            <w:vMerge w:val="restart"/>
            <w:tcBorders>
              <w:top w:val="single" w:sz="6" w:space="0" w:color="auto"/>
              <w:left w:val="single" w:sz="6" w:space="0" w:color="auto"/>
              <w:right w:val="single" w:sz="6" w:space="0" w:color="auto"/>
            </w:tcBorders>
            <w:shd w:val="clear" w:color="auto" w:fill="auto"/>
            <w:hideMark/>
          </w:tcPr>
          <w:p w14:paraId="00D7924E" w14:textId="7E39BFF2" w:rsidR="004240DB" w:rsidRPr="00CA5357" w:rsidRDefault="004240DB" w:rsidP="00783D60">
            <w:pPr>
              <w:pStyle w:val="ICHTextOnly"/>
              <w:jc w:val="left"/>
            </w:pPr>
            <w:r w:rsidRPr="00CA5357">
              <w:rPr>
                <w:b/>
                <w:bCs/>
              </w:rPr>
              <w:t>F3 (</w:t>
            </w:r>
            <w:proofErr w:type="spellStart"/>
            <w:r w:rsidRPr="00CA5357">
              <w:rPr>
                <w:b/>
                <w:bCs/>
              </w:rPr>
              <w:t>P</w:t>
            </w:r>
            <w:r>
              <w:rPr>
                <w:b/>
                <w:bCs/>
              </w:rPr>
              <w:t>o</w:t>
            </w:r>
            <w:r w:rsidRPr="00CA5357">
              <w:rPr>
                <w:b/>
                <w:bCs/>
              </w:rPr>
              <w:t>D</w:t>
            </w:r>
            <w:proofErr w:type="spellEnd"/>
            <w:r w:rsidRPr="00CA5357">
              <w:rPr>
                <w:b/>
                <w:bCs/>
              </w:rPr>
              <w:t xml:space="preserve"> study duration: </w:t>
            </w:r>
            <w:r w:rsidR="005D3FF1">
              <w:rPr>
                <w:b/>
                <w:bCs/>
                <w:lang w:val="en-US"/>
              </w:rPr>
              <w:t>postnatal day 5</w:t>
            </w:r>
            <w:r w:rsidR="00CB73CF">
              <w:rPr>
                <w:b/>
                <w:bCs/>
                <w:lang w:val="en-US"/>
              </w:rPr>
              <w:t xml:space="preserve"> to 11</w:t>
            </w:r>
            <w:r w:rsidRPr="00CA5357">
              <w:rPr>
                <w:b/>
                <w:bCs/>
              </w:rPr>
              <w:t>)</w:t>
            </w:r>
          </w:p>
        </w:tc>
        <w:tc>
          <w:tcPr>
            <w:tcW w:w="4512" w:type="dxa"/>
            <w:tcBorders>
              <w:top w:val="single" w:sz="6" w:space="0" w:color="auto"/>
              <w:left w:val="single" w:sz="6" w:space="0" w:color="auto"/>
              <w:bottom w:val="single" w:sz="6" w:space="0" w:color="auto"/>
              <w:right w:val="single" w:sz="6" w:space="0" w:color="auto"/>
            </w:tcBorders>
            <w:shd w:val="clear" w:color="auto" w:fill="auto"/>
            <w:hideMark/>
          </w:tcPr>
          <w:p w14:paraId="51524463" w14:textId="0B65BF35" w:rsidR="004240DB" w:rsidRPr="00CA5357" w:rsidRDefault="004240DB" w:rsidP="00783D60">
            <w:pPr>
              <w:pStyle w:val="ICHTextOnly"/>
              <w:jc w:val="left"/>
            </w:pPr>
            <w:r w:rsidRPr="00CA5357">
              <w:rPr>
                <w:b/>
                <w:bCs/>
              </w:rPr>
              <w:t xml:space="preserve">1 for Acute </w:t>
            </w:r>
            <w:r>
              <w:rPr>
                <w:b/>
                <w:bCs/>
              </w:rPr>
              <w:t>Acceptable Exposure</w:t>
            </w:r>
            <w:r w:rsidRPr="00CA5357">
              <w:t> </w:t>
            </w:r>
            <w:r w:rsidR="00341779" w:rsidRPr="00405E8C">
              <w:rPr>
                <w:b/>
                <w:bCs/>
              </w:rPr>
              <w:t>Le</w:t>
            </w:r>
            <w:r w:rsidR="00985870" w:rsidRPr="00405E8C">
              <w:rPr>
                <w:b/>
                <w:bCs/>
              </w:rPr>
              <w:t>vel</w:t>
            </w:r>
          </w:p>
        </w:tc>
      </w:tr>
      <w:tr w:rsidR="004240DB" w:rsidRPr="00CA5357" w14:paraId="39D92F99" w14:textId="77777777" w:rsidTr="00127807">
        <w:trPr>
          <w:trHeight w:val="373"/>
          <w:jc w:val="center"/>
        </w:trPr>
        <w:tc>
          <w:tcPr>
            <w:tcW w:w="4498" w:type="dxa"/>
            <w:vMerge/>
            <w:tcBorders>
              <w:left w:val="single" w:sz="6" w:space="0" w:color="auto"/>
              <w:bottom w:val="single" w:sz="6" w:space="0" w:color="auto"/>
              <w:right w:val="single" w:sz="6" w:space="0" w:color="auto"/>
            </w:tcBorders>
            <w:shd w:val="clear" w:color="auto" w:fill="auto"/>
          </w:tcPr>
          <w:p w14:paraId="627D4589" w14:textId="77777777" w:rsidR="004240DB" w:rsidRPr="00CA5357" w:rsidRDefault="004240DB" w:rsidP="00783D60">
            <w:pPr>
              <w:pStyle w:val="ICHTextOnly"/>
              <w:jc w:val="left"/>
              <w:rPr>
                <w:b/>
                <w:bCs/>
              </w:rPr>
            </w:pPr>
          </w:p>
        </w:tc>
        <w:tc>
          <w:tcPr>
            <w:tcW w:w="4512" w:type="dxa"/>
            <w:tcBorders>
              <w:top w:val="single" w:sz="6" w:space="0" w:color="auto"/>
              <w:left w:val="single" w:sz="6" w:space="0" w:color="auto"/>
              <w:bottom w:val="single" w:sz="6" w:space="0" w:color="auto"/>
              <w:right w:val="single" w:sz="6" w:space="0" w:color="auto"/>
            </w:tcBorders>
            <w:shd w:val="clear" w:color="auto" w:fill="auto"/>
          </w:tcPr>
          <w:p w14:paraId="7AE18C88" w14:textId="6A25BB97" w:rsidR="004240DB" w:rsidRPr="00455A9B" w:rsidRDefault="004240DB" w:rsidP="00783D60">
            <w:pPr>
              <w:pStyle w:val="ICHTextOnly"/>
              <w:jc w:val="left"/>
            </w:pPr>
            <w:r w:rsidRPr="00CA5357">
              <w:rPr>
                <w:b/>
                <w:bCs/>
              </w:rPr>
              <w:t>5 for Chronic PDE</w:t>
            </w:r>
            <w:r w:rsidRPr="00CA5357">
              <w:t> </w:t>
            </w:r>
            <w:r w:rsidR="00D40453" w:rsidRPr="00D40453">
              <w:t>critical period of brain development not covered</w:t>
            </w:r>
            <w:r w:rsidR="00625D38">
              <w:t xml:space="preserve"> by </w:t>
            </w:r>
            <w:proofErr w:type="spellStart"/>
            <w:r w:rsidR="00625D38">
              <w:t>PoD</w:t>
            </w:r>
            <w:proofErr w:type="spellEnd"/>
            <w:r w:rsidR="00625D38">
              <w:t xml:space="preserve"> study</w:t>
            </w:r>
            <w:r w:rsidR="00D40453" w:rsidRPr="00D40453">
              <w:t>.</w:t>
            </w:r>
          </w:p>
        </w:tc>
      </w:tr>
      <w:tr w:rsidR="00CA5357" w:rsidRPr="00CA5357" w14:paraId="19065EAF" w14:textId="77777777" w:rsidTr="00127807">
        <w:trPr>
          <w:trHeight w:val="300"/>
          <w:jc w:val="center"/>
        </w:trPr>
        <w:tc>
          <w:tcPr>
            <w:tcW w:w="4498" w:type="dxa"/>
            <w:tcBorders>
              <w:top w:val="single" w:sz="6" w:space="0" w:color="auto"/>
              <w:left w:val="single" w:sz="6" w:space="0" w:color="auto"/>
              <w:bottom w:val="single" w:sz="6" w:space="0" w:color="auto"/>
              <w:right w:val="single" w:sz="6" w:space="0" w:color="auto"/>
            </w:tcBorders>
            <w:shd w:val="clear" w:color="auto" w:fill="auto"/>
            <w:hideMark/>
          </w:tcPr>
          <w:p w14:paraId="64A8E8DB" w14:textId="08859CA1" w:rsidR="00CA5357" w:rsidRPr="00CA5357" w:rsidRDefault="00CA5357" w:rsidP="00783D60">
            <w:pPr>
              <w:pStyle w:val="ICHTextOnly"/>
              <w:jc w:val="left"/>
            </w:pPr>
            <w:r w:rsidRPr="00CA5357">
              <w:rPr>
                <w:b/>
                <w:bCs/>
              </w:rPr>
              <w:t>F4 (Behavioural effects)</w:t>
            </w:r>
          </w:p>
        </w:tc>
        <w:tc>
          <w:tcPr>
            <w:tcW w:w="4512" w:type="dxa"/>
            <w:tcBorders>
              <w:top w:val="single" w:sz="6" w:space="0" w:color="auto"/>
              <w:left w:val="single" w:sz="6" w:space="0" w:color="auto"/>
              <w:bottom w:val="single" w:sz="6" w:space="0" w:color="auto"/>
              <w:right w:val="single" w:sz="6" w:space="0" w:color="auto"/>
            </w:tcBorders>
            <w:shd w:val="clear" w:color="auto" w:fill="auto"/>
            <w:hideMark/>
          </w:tcPr>
          <w:p w14:paraId="3EFA07B4" w14:textId="08D68DC1" w:rsidR="00CA5357" w:rsidRPr="00CA5357" w:rsidRDefault="00CA5357" w:rsidP="00783D60">
            <w:pPr>
              <w:pStyle w:val="ICHTextOnly"/>
              <w:jc w:val="left"/>
            </w:pPr>
            <w:r w:rsidRPr="00CA5357">
              <w:rPr>
                <w:b/>
                <w:bCs/>
              </w:rPr>
              <w:t>5</w:t>
            </w:r>
          </w:p>
        </w:tc>
      </w:tr>
      <w:tr w:rsidR="00CA5357" w:rsidRPr="00CA5357" w14:paraId="4F560BF8" w14:textId="77777777" w:rsidTr="00127807">
        <w:trPr>
          <w:trHeight w:val="300"/>
          <w:jc w:val="center"/>
        </w:trPr>
        <w:tc>
          <w:tcPr>
            <w:tcW w:w="4498" w:type="dxa"/>
            <w:tcBorders>
              <w:top w:val="single" w:sz="6" w:space="0" w:color="auto"/>
              <w:left w:val="single" w:sz="6" w:space="0" w:color="auto"/>
              <w:bottom w:val="single" w:sz="6" w:space="0" w:color="auto"/>
              <w:right w:val="single" w:sz="6" w:space="0" w:color="auto"/>
            </w:tcBorders>
            <w:shd w:val="clear" w:color="auto" w:fill="auto"/>
            <w:hideMark/>
          </w:tcPr>
          <w:p w14:paraId="246B0E55" w14:textId="2A08E09C" w:rsidR="00CA5357" w:rsidRPr="00CA5357" w:rsidRDefault="00CA5357" w:rsidP="00783D60">
            <w:pPr>
              <w:pStyle w:val="ICHTextOnly"/>
              <w:jc w:val="left"/>
            </w:pPr>
            <w:r w:rsidRPr="00CA5357">
              <w:rPr>
                <w:b/>
                <w:bCs/>
              </w:rPr>
              <w:t>F5 (BMDL1SD)</w:t>
            </w:r>
          </w:p>
        </w:tc>
        <w:tc>
          <w:tcPr>
            <w:tcW w:w="4512" w:type="dxa"/>
            <w:tcBorders>
              <w:top w:val="single" w:sz="6" w:space="0" w:color="auto"/>
              <w:left w:val="single" w:sz="6" w:space="0" w:color="auto"/>
              <w:bottom w:val="single" w:sz="6" w:space="0" w:color="auto"/>
              <w:right w:val="single" w:sz="6" w:space="0" w:color="auto"/>
            </w:tcBorders>
            <w:shd w:val="clear" w:color="auto" w:fill="auto"/>
            <w:hideMark/>
          </w:tcPr>
          <w:p w14:paraId="3A11938B" w14:textId="319D7CB1" w:rsidR="00CA5357" w:rsidRPr="00CA5357" w:rsidRDefault="00CA5357" w:rsidP="00783D60">
            <w:pPr>
              <w:pStyle w:val="ICHTextOnly"/>
              <w:jc w:val="left"/>
            </w:pPr>
            <w:r w:rsidRPr="00CA5357">
              <w:rPr>
                <w:b/>
                <w:bCs/>
              </w:rPr>
              <w:t>1</w:t>
            </w:r>
          </w:p>
        </w:tc>
      </w:tr>
      <w:tr w:rsidR="00405E8C" w:rsidRPr="00CA5357" w14:paraId="77F5A285" w14:textId="77777777" w:rsidTr="00127807">
        <w:trPr>
          <w:trHeight w:val="300"/>
          <w:jc w:val="center"/>
        </w:trPr>
        <w:tc>
          <w:tcPr>
            <w:tcW w:w="4498" w:type="dxa"/>
            <w:tcBorders>
              <w:top w:val="single" w:sz="6" w:space="0" w:color="auto"/>
              <w:left w:val="single" w:sz="6" w:space="0" w:color="auto"/>
              <w:bottom w:val="single" w:sz="6" w:space="0" w:color="auto"/>
              <w:right w:val="single" w:sz="6" w:space="0" w:color="auto"/>
            </w:tcBorders>
            <w:shd w:val="clear" w:color="auto" w:fill="auto"/>
          </w:tcPr>
          <w:p w14:paraId="09825718" w14:textId="6DB6CF5F" w:rsidR="00405E8C" w:rsidRPr="00CA5357" w:rsidRDefault="00405E8C" w:rsidP="00783D60">
            <w:pPr>
              <w:pStyle w:val="ICHTextOnly"/>
              <w:jc w:val="left"/>
              <w:rPr>
                <w:b/>
                <w:bCs/>
              </w:rPr>
            </w:pPr>
            <w:r>
              <w:rPr>
                <w:b/>
                <w:bCs/>
              </w:rPr>
              <w:t>F6</w:t>
            </w:r>
            <w:r w:rsidR="00531B4C">
              <w:rPr>
                <w:b/>
                <w:bCs/>
              </w:rPr>
              <w:t xml:space="preserve"> (</w:t>
            </w:r>
            <w:proofErr w:type="spellStart"/>
            <w:r w:rsidR="00531B4C">
              <w:rPr>
                <w:b/>
                <w:bCs/>
              </w:rPr>
              <w:t>PoD</w:t>
            </w:r>
            <w:proofErr w:type="spellEnd"/>
            <w:r w:rsidR="00531B4C">
              <w:rPr>
                <w:b/>
                <w:bCs/>
              </w:rPr>
              <w:t xml:space="preserve"> route extrapolation)</w:t>
            </w:r>
          </w:p>
        </w:tc>
        <w:tc>
          <w:tcPr>
            <w:tcW w:w="4512" w:type="dxa"/>
            <w:tcBorders>
              <w:top w:val="single" w:sz="6" w:space="0" w:color="auto"/>
              <w:left w:val="single" w:sz="6" w:space="0" w:color="auto"/>
              <w:bottom w:val="single" w:sz="6" w:space="0" w:color="auto"/>
              <w:right w:val="single" w:sz="6" w:space="0" w:color="auto"/>
            </w:tcBorders>
            <w:shd w:val="clear" w:color="auto" w:fill="auto"/>
          </w:tcPr>
          <w:p w14:paraId="6853F547" w14:textId="0A9C7AC5" w:rsidR="00405E8C" w:rsidRPr="00CA5357" w:rsidRDefault="00531B4C" w:rsidP="00783D60">
            <w:pPr>
              <w:pStyle w:val="ICHTextOnly"/>
              <w:jc w:val="left"/>
              <w:rPr>
                <w:b/>
                <w:bCs/>
              </w:rPr>
            </w:pPr>
            <w:r>
              <w:rPr>
                <w:b/>
                <w:bCs/>
              </w:rPr>
              <w:t>Not applicable</w:t>
            </w:r>
          </w:p>
        </w:tc>
      </w:tr>
      <w:tr w:rsidR="00455A9B" w:rsidRPr="00CA5357" w14:paraId="7065B996" w14:textId="77777777" w:rsidTr="00127807">
        <w:trPr>
          <w:trHeight w:val="300"/>
          <w:jc w:val="center"/>
        </w:trPr>
        <w:tc>
          <w:tcPr>
            <w:tcW w:w="9010" w:type="dxa"/>
            <w:gridSpan w:val="2"/>
            <w:tcBorders>
              <w:top w:val="single" w:sz="6" w:space="0" w:color="auto"/>
              <w:left w:val="single" w:sz="6" w:space="0" w:color="auto"/>
              <w:bottom w:val="single" w:sz="6" w:space="0" w:color="auto"/>
              <w:right w:val="single" w:sz="6" w:space="0" w:color="auto"/>
            </w:tcBorders>
            <w:shd w:val="clear" w:color="auto" w:fill="auto"/>
          </w:tcPr>
          <w:p w14:paraId="2916F29A" w14:textId="01C558BD" w:rsidR="00455A9B" w:rsidRPr="00CA5357" w:rsidRDefault="00455A9B" w:rsidP="00783D60">
            <w:pPr>
              <w:pStyle w:val="ICHTextOnly"/>
              <w:jc w:val="left"/>
              <w:rPr>
                <w:b/>
                <w:bCs/>
              </w:rPr>
            </w:pPr>
            <w:r w:rsidRPr="00CA5357">
              <w:rPr>
                <w:b/>
                <w:bCs/>
              </w:rPr>
              <w:t xml:space="preserve">Acute </w:t>
            </w:r>
            <w:r>
              <w:rPr>
                <w:b/>
                <w:bCs/>
              </w:rPr>
              <w:t>Acceptable Exposure</w:t>
            </w:r>
            <w:r w:rsidR="00985870">
              <w:rPr>
                <w:b/>
                <w:bCs/>
              </w:rPr>
              <w:t xml:space="preserve"> Level</w:t>
            </w:r>
            <w:r w:rsidRPr="00CA5357">
              <w:rPr>
                <w:b/>
                <w:bCs/>
              </w:rPr>
              <w:t xml:space="preserve"> = 0.092 mg/kg/day x 50 kg / (7 x 10 x 1 x 5 x 1) </w:t>
            </w:r>
            <w:r w:rsidR="002857DC">
              <w:rPr>
                <w:b/>
                <w:bCs/>
              </w:rPr>
              <w:br/>
            </w:r>
            <w:r w:rsidR="004353FA">
              <w:rPr>
                <w:b/>
                <w:bCs/>
              </w:rPr>
              <w:t xml:space="preserve">= </w:t>
            </w:r>
            <w:r w:rsidR="002857DC">
              <w:rPr>
                <w:b/>
                <w:bCs/>
              </w:rPr>
              <w:t>0.0</w:t>
            </w:r>
            <w:r w:rsidR="004353FA">
              <w:rPr>
                <w:b/>
                <w:bCs/>
              </w:rPr>
              <w:t>1</w:t>
            </w:r>
            <w:r w:rsidR="002857DC">
              <w:rPr>
                <w:b/>
                <w:bCs/>
              </w:rPr>
              <w:t xml:space="preserve">3 </w:t>
            </w:r>
            <w:r w:rsidR="004353FA">
              <w:rPr>
                <w:b/>
                <w:bCs/>
              </w:rPr>
              <w:t>mg x 1</w:t>
            </w:r>
            <w:r w:rsidR="00405E8C">
              <w:rPr>
                <w:b/>
                <w:bCs/>
              </w:rPr>
              <w:t>,</w:t>
            </w:r>
            <w:r w:rsidR="004353FA">
              <w:rPr>
                <w:b/>
                <w:bCs/>
              </w:rPr>
              <w:t xml:space="preserve">000 </w:t>
            </w:r>
            <w:r w:rsidR="004353FA" w:rsidRPr="004312E1">
              <w:rPr>
                <w:b/>
                <w:bCs/>
              </w:rPr>
              <w:t>µg/</w:t>
            </w:r>
            <w:r w:rsidR="004353FA">
              <w:rPr>
                <w:b/>
                <w:bCs/>
              </w:rPr>
              <w:t xml:space="preserve">mg </w:t>
            </w:r>
            <w:r w:rsidRPr="00CA5357">
              <w:rPr>
                <w:b/>
                <w:bCs/>
              </w:rPr>
              <w:t>= 13 µg/day</w:t>
            </w:r>
          </w:p>
        </w:tc>
      </w:tr>
      <w:tr w:rsidR="00CA5357" w:rsidRPr="00CA5357" w14:paraId="6EF41710" w14:textId="77777777" w:rsidTr="00127807">
        <w:trPr>
          <w:trHeight w:val="300"/>
          <w:jc w:val="center"/>
        </w:trPr>
        <w:tc>
          <w:tcPr>
            <w:tcW w:w="90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3160615" w14:textId="0AE9F440" w:rsidR="00CA5357" w:rsidRPr="00CA5357" w:rsidRDefault="00CA5357" w:rsidP="00783D60">
            <w:pPr>
              <w:pStyle w:val="ICHTextOnly"/>
              <w:jc w:val="left"/>
            </w:pPr>
            <w:r w:rsidRPr="00CA5357">
              <w:rPr>
                <w:b/>
                <w:bCs/>
              </w:rPr>
              <w:t xml:space="preserve">Chronic PDE = 0.092 mg/kg/day x 50 kg / (7 x 10 x 5 x 5 x 1) </w:t>
            </w:r>
            <w:r w:rsidR="002857DC">
              <w:rPr>
                <w:b/>
                <w:bCs/>
              </w:rPr>
              <w:t>= 0.0</w:t>
            </w:r>
            <w:r w:rsidR="00B36A7F">
              <w:rPr>
                <w:b/>
                <w:bCs/>
              </w:rPr>
              <w:t>026</w:t>
            </w:r>
            <w:r w:rsidR="002857DC">
              <w:rPr>
                <w:b/>
                <w:bCs/>
              </w:rPr>
              <w:t xml:space="preserve"> mg x 1</w:t>
            </w:r>
            <w:r w:rsidR="00405E8C">
              <w:rPr>
                <w:b/>
                <w:bCs/>
              </w:rPr>
              <w:t>,</w:t>
            </w:r>
            <w:r w:rsidR="002857DC">
              <w:rPr>
                <w:b/>
                <w:bCs/>
              </w:rPr>
              <w:t xml:space="preserve">000 </w:t>
            </w:r>
            <w:r w:rsidR="002857DC" w:rsidRPr="004312E1">
              <w:rPr>
                <w:b/>
                <w:bCs/>
              </w:rPr>
              <w:t>µg/</w:t>
            </w:r>
            <w:r w:rsidR="002857DC">
              <w:rPr>
                <w:b/>
                <w:bCs/>
              </w:rPr>
              <w:t xml:space="preserve">mg </w:t>
            </w:r>
            <w:r w:rsidR="002857DC">
              <w:rPr>
                <w:b/>
                <w:bCs/>
              </w:rPr>
              <w:br/>
            </w:r>
            <w:r w:rsidRPr="00CA5357">
              <w:rPr>
                <w:b/>
                <w:bCs/>
              </w:rPr>
              <w:t>= 2.6 µg/day</w:t>
            </w:r>
          </w:p>
        </w:tc>
      </w:tr>
    </w:tbl>
    <w:p w14:paraId="04A95C70" w14:textId="72EC80C8" w:rsidR="002212CC" w:rsidRPr="001F30BC" w:rsidRDefault="002212CC" w:rsidP="001F30BC">
      <w:pPr>
        <w:pStyle w:val="ICHTextOnly"/>
      </w:pPr>
      <w:r>
        <w:rPr>
          <w:b/>
          <w:bCs/>
        </w:rPr>
        <w:br w:type="page"/>
      </w:r>
    </w:p>
    <w:p w14:paraId="4F63943A" w14:textId="1F4EC02F" w:rsidR="00CA5357" w:rsidRPr="00CA5357" w:rsidRDefault="00455A9B" w:rsidP="00CA5357">
      <w:pPr>
        <w:pStyle w:val="ICHTextOnly"/>
      </w:pPr>
      <w:r w:rsidRPr="00CA5357">
        <w:rPr>
          <w:b/>
          <w:bCs/>
        </w:rPr>
        <w:lastRenderedPageBreak/>
        <w:t xml:space="preserve">Parenteral </w:t>
      </w:r>
      <w:r>
        <w:rPr>
          <w:b/>
          <w:bCs/>
        </w:rPr>
        <w:t xml:space="preserve">Acceptable Exposure and </w:t>
      </w:r>
      <w:r w:rsidRPr="00CA5357">
        <w:rPr>
          <w:b/>
          <w:bCs/>
        </w:rPr>
        <w:t xml:space="preserve">PDE </w:t>
      </w:r>
    </w:p>
    <w:p w14:paraId="3A3A5847" w14:textId="2CC19D5B" w:rsidR="00CA5357" w:rsidRPr="00CA5357" w:rsidRDefault="00CA5357" w:rsidP="00CA5357">
      <w:pPr>
        <w:pStyle w:val="ICHTextOnly"/>
      </w:pPr>
      <w:r w:rsidRPr="00CA5357">
        <w:rPr>
          <w:lang w:val="en-US"/>
        </w:rPr>
        <w:t xml:space="preserve">In the absence of parenteral administration repeat dose toxicity studies, the same POD study was used to derive the parenteral PDE with the inclusion of a bioavailability modifying factor (F6), based on physiochemical characteristics of </w:t>
      </w:r>
      <w:proofErr w:type="spellStart"/>
      <w:r w:rsidRPr="00CA5357">
        <w:rPr>
          <w:lang w:val="en-US"/>
        </w:rPr>
        <w:t>BaP</w:t>
      </w:r>
      <w:proofErr w:type="spellEnd"/>
      <w:r w:rsidRPr="00CA5357">
        <w:rPr>
          <w:lang w:val="en-US"/>
        </w:rPr>
        <w:t xml:space="preserve"> (MW = </w:t>
      </w:r>
      <w:r w:rsidRPr="00CA5357">
        <w:t>252.3 g/mol</w:t>
      </w:r>
      <w:r w:rsidRPr="00CA5357">
        <w:rPr>
          <w:lang w:val="en-US"/>
        </w:rPr>
        <w:t xml:space="preserve"> and predicted </w:t>
      </w:r>
      <w:proofErr w:type="spellStart"/>
      <w:r w:rsidRPr="00CA5357">
        <w:rPr>
          <w:lang w:val="en-US"/>
        </w:rPr>
        <w:t>LogP</w:t>
      </w:r>
      <w:proofErr w:type="spellEnd"/>
      <w:r w:rsidRPr="00CA5357">
        <w:rPr>
          <w:lang w:val="en-US"/>
        </w:rPr>
        <w:t xml:space="preserve"> 3.0</w:t>
      </w:r>
      <w:r w:rsidR="00455A9B">
        <w:rPr>
          <w:lang w:val="en-US"/>
        </w:rPr>
        <w:t xml:space="preserve"> (PubChem, 2024)</w:t>
      </w:r>
      <w:r w:rsidRPr="00CA5357">
        <w:rPr>
          <w:lang w:val="en-US"/>
        </w:rPr>
        <w:t>). </w:t>
      </w:r>
      <w:r w:rsidRPr="00CA5357">
        <w:t> </w:t>
      </w:r>
    </w:p>
    <w:tbl>
      <w:tblPr>
        <w:tblW w:w="901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15"/>
      </w:tblGrid>
      <w:tr w:rsidR="00CA5357" w:rsidRPr="00CA5357" w14:paraId="5F173B26" w14:textId="77777777" w:rsidTr="00455A9B">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B596226" w14:textId="094100FC" w:rsidR="00CA5357" w:rsidRPr="00CA5357" w:rsidRDefault="00CA5357" w:rsidP="00783D60">
            <w:pPr>
              <w:pStyle w:val="ICHTextOnly"/>
              <w:jc w:val="left"/>
              <w:divId w:val="300774114"/>
            </w:pPr>
            <w:r w:rsidRPr="00CA5357">
              <w:rPr>
                <w:b/>
                <w:bCs/>
              </w:rPr>
              <w:t>Parenteral Calculation</w:t>
            </w:r>
            <w:r w:rsidRPr="00CA5357">
              <w:t> </w:t>
            </w:r>
          </w:p>
        </w:tc>
      </w:tr>
      <w:tr w:rsidR="00CA5357" w:rsidRPr="00CA5357" w14:paraId="19239DCD" w14:textId="77777777" w:rsidTr="00455A9B">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944F7A6" w14:textId="3C662C54" w:rsidR="00CA5357" w:rsidRPr="00CA5357" w:rsidRDefault="00CA5357" w:rsidP="00783D60">
            <w:pPr>
              <w:pStyle w:val="ICHTextOnly"/>
              <w:jc w:val="left"/>
            </w:pPr>
            <w:proofErr w:type="spellStart"/>
            <w:r w:rsidRPr="00CA5357">
              <w:rPr>
                <w:b/>
                <w:bCs/>
              </w:rPr>
              <w:t>P</w:t>
            </w:r>
            <w:r w:rsidR="001D70B4">
              <w:rPr>
                <w:b/>
                <w:bCs/>
              </w:rPr>
              <w:t>o</w:t>
            </w:r>
            <w:r w:rsidRPr="00CA5357">
              <w:rPr>
                <w:b/>
                <w:bCs/>
              </w:rPr>
              <w:t>D</w:t>
            </w:r>
            <w:proofErr w:type="spellEnd"/>
            <w:r w:rsidRPr="00CA5357">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05DD62CA" w14:textId="77777777" w:rsidR="00CA5357" w:rsidRPr="00CA5357" w:rsidRDefault="00CA5357" w:rsidP="00783D60">
            <w:pPr>
              <w:pStyle w:val="ICHTextOnly"/>
              <w:jc w:val="left"/>
            </w:pPr>
            <w:r w:rsidRPr="00CA5357">
              <w:rPr>
                <w:b/>
                <w:bCs/>
              </w:rPr>
              <w:t>0.092 mg/kg/day</w:t>
            </w:r>
            <w:r w:rsidRPr="00CA5357">
              <w:t> </w:t>
            </w:r>
          </w:p>
        </w:tc>
      </w:tr>
      <w:tr w:rsidR="00CA5357" w:rsidRPr="00CA5357" w14:paraId="5B74B780" w14:textId="77777777" w:rsidTr="00455A9B">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66980B7" w14:textId="77777777" w:rsidR="00CA5357" w:rsidRPr="00CA5357" w:rsidRDefault="00CA5357" w:rsidP="00783D60">
            <w:pPr>
              <w:pStyle w:val="ICHTextOnly"/>
              <w:jc w:val="left"/>
            </w:pPr>
            <w:r w:rsidRPr="00CA5357">
              <w:rPr>
                <w:b/>
                <w:bCs/>
              </w:rPr>
              <w:t>BW</w:t>
            </w:r>
            <w:r w:rsidRPr="00CA5357">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187BABA6" w14:textId="77777777" w:rsidR="00CA5357" w:rsidRPr="00CA5357" w:rsidRDefault="00CA5357" w:rsidP="00783D60">
            <w:pPr>
              <w:pStyle w:val="ICHTextOnly"/>
              <w:jc w:val="left"/>
            </w:pPr>
            <w:r w:rsidRPr="00CA5357">
              <w:rPr>
                <w:b/>
                <w:bCs/>
              </w:rPr>
              <w:t>50 kg</w:t>
            </w:r>
            <w:r w:rsidRPr="00CA5357">
              <w:t> </w:t>
            </w:r>
          </w:p>
        </w:tc>
      </w:tr>
      <w:tr w:rsidR="00CA5357" w:rsidRPr="00CA5357" w14:paraId="55C0B648" w14:textId="77777777" w:rsidTr="00455A9B">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7B08C2F" w14:textId="77777777" w:rsidR="00CA5357" w:rsidRPr="00CA5357" w:rsidRDefault="00CA5357" w:rsidP="00783D60">
            <w:pPr>
              <w:pStyle w:val="ICHTextOnly"/>
              <w:jc w:val="left"/>
            </w:pPr>
            <w:r w:rsidRPr="00CA5357">
              <w:rPr>
                <w:b/>
                <w:bCs/>
              </w:rPr>
              <w:t>F1 (</w:t>
            </w:r>
            <w:r w:rsidRPr="00CA5357">
              <w:rPr>
                <w:b/>
                <w:bCs/>
                <w:lang w:val="en-US"/>
              </w:rPr>
              <w:t>juvenile</w:t>
            </w:r>
            <w:r w:rsidRPr="00CA5357">
              <w:rPr>
                <w:lang w:val="en-US"/>
              </w:rPr>
              <w:t xml:space="preserve"> </w:t>
            </w:r>
            <w:r w:rsidRPr="00CA5357">
              <w:rPr>
                <w:b/>
                <w:bCs/>
              </w:rPr>
              <w:t>rat)</w:t>
            </w:r>
            <w:r w:rsidRPr="00CA5357">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3AFEA304" w14:textId="77777777" w:rsidR="00CA5357" w:rsidRPr="00CA5357" w:rsidRDefault="00CA5357" w:rsidP="00783D60">
            <w:pPr>
              <w:pStyle w:val="ICHTextOnly"/>
              <w:jc w:val="left"/>
            </w:pPr>
            <w:r w:rsidRPr="00CA5357">
              <w:rPr>
                <w:b/>
                <w:bCs/>
              </w:rPr>
              <w:t>7</w:t>
            </w:r>
            <w:r w:rsidRPr="00CA5357">
              <w:t> </w:t>
            </w:r>
          </w:p>
        </w:tc>
      </w:tr>
      <w:tr w:rsidR="00CA5357" w:rsidRPr="00CA5357" w14:paraId="777E4781" w14:textId="77777777" w:rsidTr="00455A9B">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D1DBC39" w14:textId="77777777" w:rsidR="00CA5357" w:rsidRPr="00CA5357" w:rsidRDefault="00CA5357" w:rsidP="00783D60">
            <w:pPr>
              <w:pStyle w:val="ICHTextOnly"/>
              <w:jc w:val="left"/>
            </w:pPr>
            <w:r w:rsidRPr="00CA5357">
              <w:rPr>
                <w:b/>
                <w:bCs/>
              </w:rPr>
              <w:t>F2 (intra-species variability)</w:t>
            </w:r>
            <w:r w:rsidRPr="00CA5357">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58CACF44" w14:textId="77777777" w:rsidR="00CA5357" w:rsidRPr="00CA5357" w:rsidRDefault="00CA5357" w:rsidP="00783D60">
            <w:pPr>
              <w:pStyle w:val="ICHTextOnly"/>
              <w:jc w:val="left"/>
            </w:pPr>
            <w:r w:rsidRPr="00CA5357">
              <w:rPr>
                <w:b/>
                <w:bCs/>
              </w:rPr>
              <w:t>10</w:t>
            </w:r>
            <w:r w:rsidRPr="00CA5357">
              <w:t> </w:t>
            </w:r>
          </w:p>
        </w:tc>
      </w:tr>
      <w:tr w:rsidR="00455A9B" w:rsidRPr="00CA5357" w14:paraId="57DDC825" w14:textId="77777777" w:rsidTr="00455A9B">
        <w:trPr>
          <w:trHeight w:val="374"/>
        </w:trPr>
        <w:tc>
          <w:tcPr>
            <w:tcW w:w="4500" w:type="dxa"/>
            <w:vMerge w:val="restart"/>
            <w:tcBorders>
              <w:top w:val="single" w:sz="6" w:space="0" w:color="auto"/>
              <w:left w:val="single" w:sz="6" w:space="0" w:color="auto"/>
              <w:right w:val="single" w:sz="6" w:space="0" w:color="auto"/>
            </w:tcBorders>
            <w:shd w:val="clear" w:color="auto" w:fill="auto"/>
            <w:hideMark/>
          </w:tcPr>
          <w:p w14:paraId="428A1DF8" w14:textId="3AF9181B" w:rsidR="00455A9B" w:rsidRPr="00CA5357" w:rsidRDefault="00455A9B" w:rsidP="00783D60">
            <w:pPr>
              <w:pStyle w:val="ICHTextOnly"/>
              <w:jc w:val="left"/>
            </w:pPr>
            <w:r w:rsidRPr="00CA5357">
              <w:rPr>
                <w:b/>
                <w:bCs/>
              </w:rPr>
              <w:t>F3 (</w:t>
            </w:r>
            <w:proofErr w:type="spellStart"/>
            <w:r w:rsidRPr="00CA5357">
              <w:rPr>
                <w:b/>
                <w:bCs/>
              </w:rPr>
              <w:t>P</w:t>
            </w:r>
            <w:r>
              <w:rPr>
                <w:b/>
                <w:bCs/>
              </w:rPr>
              <w:t>o</w:t>
            </w:r>
            <w:r w:rsidRPr="00CA5357">
              <w:rPr>
                <w:b/>
                <w:bCs/>
              </w:rPr>
              <w:t>D</w:t>
            </w:r>
            <w:proofErr w:type="spellEnd"/>
            <w:r w:rsidRPr="00CA5357">
              <w:rPr>
                <w:b/>
                <w:bCs/>
              </w:rPr>
              <w:t xml:space="preserve"> study duration: </w:t>
            </w:r>
            <w:r w:rsidR="00455E96">
              <w:rPr>
                <w:b/>
                <w:bCs/>
                <w:lang w:val="en-US"/>
              </w:rPr>
              <w:t>postnatal day 5 to 11</w:t>
            </w:r>
            <w:r w:rsidRPr="00CA5357">
              <w:rPr>
                <w:b/>
                <w:bCs/>
              </w:rPr>
              <w:t>)</w:t>
            </w:r>
            <w:r w:rsidRPr="00CA5357">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3FF29227" w14:textId="6BC8BDF3" w:rsidR="00455A9B" w:rsidRPr="00455A9B" w:rsidRDefault="00455A9B" w:rsidP="00783D60">
            <w:pPr>
              <w:pStyle w:val="ICHTextOnly"/>
              <w:jc w:val="left"/>
              <w:rPr>
                <w:b/>
                <w:bCs/>
              </w:rPr>
            </w:pPr>
            <w:r w:rsidRPr="00455A9B">
              <w:rPr>
                <w:b/>
                <w:bCs/>
              </w:rPr>
              <w:t xml:space="preserve">1 for Acute Acceptable Exposure </w:t>
            </w:r>
          </w:p>
        </w:tc>
      </w:tr>
      <w:tr w:rsidR="00455A9B" w:rsidRPr="00CA5357" w14:paraId="18A04085" w14:textId="77777777" w:rsidTr="00455A9B">
        <w:trPr>
          <w:trHeight w:val="373"/>
        </w:trPr>
        <w:tc>
          <w:tcPr>
            <w:tcW w:w="4500" w:type="dxa"/>
            <w:vMerge/>
            <w:tcBorders>
              <w:left w:val="single" w:sz="6" w:space="0" w:color="auto"/>
              <w:bottom w:val="single" w:sz="6" w:space="0" w:color="auto"/>
              <w:right w:val="single" w:sz="6" w:space="0" w:color="auto"/>
            </w:tcBorders>
            <w:shd w:val="clear" w:color="auto" w:fill="auto"/>
          </w:tcPr>
          <w:p w14:paraId="38265DF3" w14:textId="77777777" w:rsidR="00455A9B" w:rsidRPr="00CA5357" w:rsidRDefault="00455A9B" w:rsidP="00783D60">
            <w:pPr>
              <w:pStyle w:val="ICHTextOnly"/>
              <w:jc w:val="left"/>
              <w:rPr>
                <w:b/>
                <w:bCs/>
              </w:rPr>
            </w:pPr>
          </w:p>
        </w:tc>
        <w:tc>
          <w:tcPr>
            <w:tcW w:w="4515" w:type="dxa"/>
            <w:tcBorders>
              <w:top w:val="single" w:sz="6" w:space="0" w:color="auto"/>
              <w:left w:val="single" w:sz="6" w:space="0" w:color="auto"/>
              <w:bottom w:val="single" w:sz="6" w:space="0" w:color="auto"/>
              <w:right w:val="single" w:sz="6" w:space="0" w:color="auto"/>
            </w:tcBorders>
            <w:shd w:val="clear" w:color="auto" w:fill="auto"/>
          </w:tcPr>
          <w:p w14:paraId="32EF125D" w14:textId="323B0F65" w:rsidR="00455A9B" w:rsidRPr="00455A9B" w:rsidRDefault="00455A9B" w:rsidP="00783D60">
            <w:pPr>
              <w:pStyle w:val="ICHTextOnly"/>
              <w:jc w:val="left"/>
              <w:rPr>
                <w:b/>
                <w:bCs/>
              </w:rPr>
            </w:pPr>
            <w:r w:rsidRPr="00455A9B">
              <w:rPr>
                <w:b/>
                <w:bCs/>
              </w:rPr>
              <w:t xml:space="preserve">5 for Chronic PDE </w:t>
            </w:r>
            <w:r w:rsidR="00455E96" w:rsidRPr="00D40453">
              <w:t>critical period of brain development not covered</w:t>
            </w:r>
            <w:r w:rsidR="00455E96">
              <w:t xml:space="preserve"> by </w:t>
            </w:r>
            <w:proofErr w:type="spellStart"/>
            <w:r w:rsidR="00455E96">
              <w:t>PoD</w:t>
            </w:r>
            <w:proofErr w:type="spellEnd"/>
            <w:r w:rsidR="00455E96">
              <w:t xml:space="preserve"> study</w:t>
            </w:r>
            <w:r w:rsidR="00455E96" w:rsidRPr="00D40453">
              <w:t>.</w:t>
            </w:r>
          </w:p>
        </w:tc>
      </w:tr>
      <w:tr w:rsidR="00CA5357" w:rsidRPr="00CA5357" w14:paraId="6C54388F" w14:textId="77777777" w:rsidTr="00455A9B">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2541572" w14:textId="77777777" w:rsidR="00CA5357" w:rsidRPr="00CA5357" w:rsidRDefault="00CA5357" w:rsidP="00783D60">
            <w:pPr>
              <w:pStyle w:val="ICHTextOnly"/>
              <w:jc w:val="left"/>
            </w:pPr>
            <w:r w:rsidRPr="00CA5357">
              <w:rPr>
                <w:b/>
                <w:bCs/>
              </w:rPr>
              <w:t xml:space="preserve">F4 (Behavioural </w:t>
            </w:r>
            <w:proofErr w:type="spellStart"/>
            <w:r w:rsidRPr="00CA5357">
              <w:rPr>
                <w:b/>
                <w:bCs/>
              </w:rPr>
              <w:t>fetal</w:t>
            </w:r>
            <w:proofErr w:type="spellEnd"/>
            <w:r w:rsidRPr="00CA5357">
              <w:rPr>
                <w:b/>
                <w:bCs/>
              </w:rPr>
              <w:t xml:space="preserve"> effects)</w:t>
            </w:r>
            <w:r w:rsidRPr="00CA5357">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1EC7A6BC" w14:textId="77777777" w:rsidR="00CA5357" w:rsidRPr="00CA5357" w:rsidRDefault="00CA5357" w:rsidP="00783D60">
            <w:pPr>
              <w:pStyle w:val="ICHTextOnly"/>
              <w:jc w:val="left"/>
            </w:pPr>
            <w:r w:rsidRPr="00CA5357">
              <w:rPr>
                <w:b/>
                <w:bCs/>
              </w:rPr>
              <w:t>5</w:t>
            </w:r>
            <w:r w:rsidRPr="00CA5357">
              <w:t> </w:t>
            </w:r>
          </w:p>
        </w:tc>
      </w:tr>
      <w:tr w:rsidR="00CA5357" w:rsidRPr="00CA5357" w14:paraId="14B9AD7C" w14:textId="77777777" w:rsidTr="00455A9B">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60AC3FA" w14:textId="77777777" w:rsidR="00CA5357" w:rsidRPr="00CA5357" w:rsidRDefault="00CA5357" w:rsidP="00783D60">
            <w:pPr>
              <w:pStyle w:val="ICHTextOnly"/>
              <w:jc w:val="left"/>
            </w:pPr>
            <w:r w:rsidRPr="00CA5357">
              <w:rPr>
                <w:b/>
                <w:bCs/>
              </w:rPr>
              <w:t>F5 (BMDL)</w:t>
            </w:r>
            <w:r w:rsidRPr="00CA5357">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160D3BBE" w14:textId="77777777" w:rsidR="00CA5357" w:rsidRPr="00CA5357" w:rsidRDefault="00CA5357" w:rsidP="00783D60">
            <w:pPr>
              <w:pStyle w:val="ICHTextOnly"/>
              <w:jc w:val="left"/>
            </w:pPr>
            <w:r w:rsidRPr="00CA5357">
              <w:rPr>
                <w:b/>
                <w:bCs/>
              </w:rPr>
              <w:t>1</w:t>
            </w:r>
            <w:r w:rsidRPr="00CA5357">
              <w:t> </w:t>
            </w:r>
          </w:p>
        </w:tc>
      </w:tr>
      <w:tr w:rsidR="00CA5357" w:rsidRPr="00CA5357" w14:paraId="015475C5" w14:textId="77777777" w:rsidTr="00455A9B">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2413023" w14:textId="77777777" w:rsidR="00CA5357" w:rsidRPr="00CA5357" w:rsidRDefault="00CA5357" w:rsidP="00783D60">
            <w:pPr>
              <w:pStyle w:val="ICHTextOnly"/>
              <w:jc w:val="left"/>
            </w:pPr>
            <w:r w:rsidRPr="00CA5357">
              <w:rPr>
                <w:b/>
                <w:bCs/>
              </w:rPr>
              <w:t>F6 (Physicochemical characteristics)</w:t>
            </w:r>
            <w:r w:rsidRPr="00CA5357">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09E06A23" w14:textId="77777777" w:rsidR="00CA5357" w:rsidRPr="00CA5357" w:rsidRDefault="00CA5357" w:rsidP="00783D60">
            <w:pPr>
              <w:pStyle w:val="ICHTextOnly"/>
              <w:jc w:val="left"/>
            </w:pPr>
            <w:r w:rsidRPr="00CA5357">
              <w:rPr>
                <w:b/>
                <w:bCs/>
              </w:rPr>
              <w:t>10</w:t>
            </w:r>
            <w:r w:rsidRPr="00CA5357">
              <w:t> </w:t>
            </w:r>
          </w:p>
        </w:tc>
      </w:tr>
      <w:tr w:rsidR="00455A9B" w:rsidRPr="00CA5357" w14:paraId="7E29B7A4" w14:textId="77777777" w:rsidTr="00455A9B">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tcPr>
          <w:p w14:paraId="0AA88602" w14:textId="358E0651" w:rsidR="00455A9B" w:rsidRPr="00CA5357" w:rsidRDefault="00455A9B" w:rsidP="00783D60">
            <w:pPr>
              <w:pStyle w:val="ICHTextOnly"/>
              <w:jc w:val="left"/>
              <w:rPr>
                <w:b/>
                <w:bCs/>
              </w:rPr>
            </w:pPr>
            <w:r w:rsidRPr="00CA5357">
              <w:rPr>
                <w:b/>
                <w:bCs/>
              </w:rPr>
              <w:t xml:space="preserve">Acute </w:t>
            </w:r>
            <w:r>
              <w:rPr>
                <w:b/>
                <w:bCs/>
              </w:rPr>
              <w:t>Acceptable Exposure</w:t>
            </w:r>
            <w:r w:rsidRPr="00CA5357">
              <w:rPr>
                <w:b/>
                <w:bCs/>
              </w:rPr>
              <w:t xml:space="preserve"> </w:t>
            </w:r>
            <w:r w:rsidR="00B36A7F">
              <w:rPr>
                <w:b/>
                <w:bCs/>
              </w:rPr>
              <w:t xml:space="preserve">Level </w:t>
            </w:r>
            <w:r w:rsidRPr="00CA5357">
              <w:rPr>
                <w:b/>
                <w:bCs/>
              </w:rPr>
              <w:t xml:space="preserve">= 0.092 mg/kg/day x 50 kg / (7 x 10 x 1 x 5 x 1 x 10) </w:t>
            </w:r>
            <w:r w:rsidR="00B36A7F">
              <w:rPr>
                <w:b/>
                <w:bCs/>
              </w:rPr>
              <w:t>= 0.0</w:t>
            </w:r>
            <w:r w:rsidR="00D15A06">
              <w:rPr>
                <w:b/>
                <w:bCs/>
              </w:rPr>
              <w:t>0</w:t>
            </w:r>
            <w:r w:rsidR="00B36A7F">
              <w:rPr>
                <w:b/>
                <w:bCs/>
              </w:rPr>
              <w:t>13 mg x 1</w:t>
            </w:r>
            <w:r w:rsidR="00405E8C">
              <w:rPr>
                <w:b/>
                <w:bCs/>
              </w:rPr>
              <w:t>,</w:t>
            </w:r>
            <w:r w:rsidR="00B36A7F">
              <w:rPr>
                <w:b/>
                <w:bCs/>
              </w:rPr>
              <w:t xml:space="preserve">000 </w:t>
            </w:r>
            <w:r w:rsidR="00B36A7F" w:rsidRPr="004312E1">
              <w:rPr>
                <w:b/>
                <w:bCs/>
              </w:rPr>
              <w:t>µg/</w:t>
            </w:r>
            <w:r w:rsidR="00B36A7F">
              <w:rPr>
                <w:b/>
                <w:bCs/>
              </w:rPr>
              <w:t xml:space="preserve">mg </w:t>
            </w:r>
            <w:r w:rsidRPr="00CA5357">
              <w:rPr>
                <w:b/>
                <w:bCs/>
              </w:rPr>
              <w:t>= 1.3 µg/day</w:t>
            </w:r>
            <w:r w:rsidRPr="00CA5357">
              <w:t> </w:t>
            </w:r>
          </w:p>
        </w:tc>
      </w:tr>
      <w:tr w:rsidR="00CA5357" w:rsidRPr="00CA5357" w14:paraId="6C41A40D" w14:textId="77777777" w:rsidTr="00455A9B">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36AAC2" w14:textId="3DF50D94" w:rsidR="00CA5357" w:rsidRPr="00CA5357" w:rsidRDefault="00CA5357" w:rsidP="00783D60">
            <w:pPr>
              <w:pStyle w:val="ICHTextOnly"/>
              <w:jc w:val="left"/>
            </w:pPr>
            <w:r w:rsidRPr="00CA5357">
              <w:rPr>
                <w:b/>
                <w:bCs/>
              </w:rPr>
              <w:t xml:space="preserve">Chronic PDE = 0.092 mg/kg/day x 50 kg / (7 x 10 x 5 x 5 x 1 x 10) </w:t>
            </w:r>
            <w:r w:rsidR="00D15A06">
              <w:rPr>
                <w:b/>
                <w:bCs/>
              </w:rPr>
              <w:t>= 0.00026 mg x 1</w:t>
            </w:r>
            <w:r w:rsidR="00405E8C">
              <w:rPr>
                <w:b/>
                <w:bCs/>
              </w:rPr>
              <w:t>,</w:t>
            </w:r>
            <w:r w:rsidR="00D15A06">
              <w:rPr>
                <w:b/>
                <w:bCs/>
              </w:rPr>
              <w:t xml:space="preserve">000 </w:t>
            </w:r>
            <w:r w:rsidR="00D15A06" w:rsidRPr="004312E1">
              <w:rPr>
                <w:b/>
                <w:bCs/>
              </w:rPr>
              <w:t>µg/</w:t>
            </w:r>
            <w:r w:rsidR="00D15A06">
              <w:rPr>
                <w:b/>
                <w:bCs/>
              </w:rPr>
              <w:t xml:space="preserve">mg </w:t>
            </w:r>
            <w:r w:rsidRPr="00CA5357">
              <w:rPr>
                <w:b/>
                <w:bCs/>
              </w:rPr>
              <w:t>= 0.26 µg/day</w:t>
            </w:r>
            <w:r w:rsidRPr="00CA5357">
              <w:t> </w:t>
            </w:r>
          </w:p>
        </w:tc>
      </w:tr>
    </w:tbl>
    <w:p w14:paraId="17CDCD6E" w14:textId="77777777" w:rsidR="00CA5357" w:rsidRPr="00CA5357" w:rsidRDefault="00CA5357" w:rsidP="00CA5357">
      <w:pPr>
        <w:pStyle w:val="ICHTextOnly"/>
      </w:pPr>
      <w:r w:rsidRPr="00CA5357">
        <w:t> </w:t>
      </w:r>
    </w:p>
    <w:p w14:paraId="5DE59F41" w14:textId="75E80291" w:rsidR="00CA5357" w:rsidRPr="00CA5357" w:rsidRDefault="00CA5357" w:rsidP="00CA5357">
      <w:pPr>
        <w:pStyle w:val="ICHTextOnly"/>
      </w:pPr>
      <w:r w:rsidRPr="00CA5357">
        <w:t> </w:t>
      </w:r>
      <w:r w:rsidRPr="00CA5357">
        <w:rPr>
          <w:b/>
          <w:bCs/>
        </w:rPr>
        <w:t>REFERENCES</w:t>
      </w:r>
      <w:r w:rsidRPr="00CA5357">
        <w:t> </w:t>
      </w:r>
    </w:p>
    <w:p w14:paraId="23F759EB" w14:textId="77777777" w:rsidR="009C7697" w:rsidRDefault="009C7697" w:rsidP="009C7697">
      <w:pPr>
        <w:pStyle w:val="ICHTextOnly"/>
      </w:pPr>
      <w:r w:rsidRPr="001861D0">
        <w:t xml:space="preserve">International </w:t>
      </w:r>
      <w:r>
        <w:t>Conference on Harmonisation (2023). M7(R2): Assessment and Control of DNA Reactive (Mutagenic) Impurities in Pharmaceuticals to Limit Potential Carcinogenic Risk.</w:t>
      </w:r>
    </w:p>
    <w:p w14:paraId="52C3E641" w14:textId="77777777" w:rsidR="009C7697" w:rsidRDefault="009C7697" w:rsidP="00CA5357">
      <w:pPr>
        <w:pStyle w:val="ICHTextOnly"/>
        <w:rPr>
          <w:lang w:val="en-US"/>
        </w:rPr>
      </w:pPr>
    </w:p>
    <w:p w14:paraId="4D1B6A30" w14:textId="08A875D1" w:rsidR="00CA5357" w:rsidRDefault="00CA5357" w:rsidP="00CA5357">
      <w:pPr>
        <w:pStyle w:val="ICHTextOnly"/>
      </w:pPr>
      <w:r w:rsidRPr="00CA5357">
        <w:rPr>
          <w:lang w:val="en-US"/>
        </w:rPr>
        <w:t xml:space="preserve">PubChem (2024) Compound Summary for CID 2336, Benzo[a]pyrene, National Center for Biotechnology Information. </w:t>
      </w:r>
      <w:r w:rsidRPr="3D2713E6">
        <w:rPr>
          <w:lang w:val="en-US"/>
        </w:rPr>
        <w:t xml:space="preserve">Retrieved May 2, 2024, from </w:t>
      </w:r>
      <w:r w:rsidRPr="00650DF3">
        <w:rPr>
          <w:lang w:val="en-US"/>
        </w:rPr>
        <w:t>https://pubchem.ncbi.nlm.nih.gov/compound/Benzo_a_pyrene</w:t>
      </w:r>
      <w:r w:rsidRPr="3D2713E6">
        <w:rPr>
          <w:lang w:val="en-US"/>
        </w:rPr>
        <w:t>. </w:t>
      </w:r>
      <w:r>
        <w:t>  </w:t>
      </w:r>
    </w:p>
    <w:p w14:paraId="62E3A49E" w14:textId="77777777" w:rsidR="001A21F8" w:rsidRPr="00CA5357" w:rsidRDefault="001A21F8" w:rsidP="00CA5357">
      <w:pPr>
        <w:pStyle w:val="ICHTextOnly"/>
      </w:pPr>
    </w:p>
    <w:p w14:paraId="4067FEC7" w14:textId="1EC751B7" w:rsidR="00EF188C" w:rsidRDefault="00CA5357" w:rsidP="004312E1">
      <w:pPr>
        <w:pStyle w:val="ICHTextOnly"/>
      </w:pPr>
      <w:r w:rsidRPr="00913E48">
        <w:rPr>
          <w:lang w:val="fr-FR"/>
        </w:rPr>
        <w:t xml:space="preserve">Chen, </w:t>
      </w:r>
      <w:proofErr w:type="gramStart"/>
      <w:r w:rsidRPr="00913E48">
        <w:rPr>
          <w:lang w:val="fr-FR"/>
        </w:rPr>
        <w:t>C;</w:t>
      </w:r>
      <w:proofErr w:type="gramEnd"/>
      <w:r w:rsidRPr="00913E48">
        <w:rPr>
          <w:lang w:val="fr-FR"/>
        </w:rPr>
        <w:t xml:space="preserve"> Tang, Y; Jiang, X; Qi, Y; Cheng, S; Qiu, C; </w:t>
      </w:r>
      <w:r w:rsidR="0073745E">
        <w:rPr>
          <w:lang w:val="fr-FR"/>
        </w:rPr>
        <w:t>et al</w:t>
      </w:r>
      <w:r w:rsidRPr="00913E48">
        <w:rPr>
          <w:lang w:val="fr-FR"/>
        </w:rPr>
        <w:t xml:space="preserve">. </w:t>
      </w:r>
      <w:r w:rsidRPr="00663A4C">
        <w:rPr>
          <w:lang w:val="en-US"/>
        </w:rPr>
        <w:t xml:space="preserve">(2012). </w:t>
      </w:r>
      <w:r w:rsidRPr="00CA5357">
        <w:rPr>
          <w:lang w:val="en-US"/>
        </w:rPr>
        <w:t xml:space="preserve">Early postnatal benzo(a)pyrene exposure in Sprague-Dawley rats causes persistent neurobehavioral impairments that emerge postnatally and continue into adolescence and adulthood. Toxicol Sci 125: 248-261. </w:t>
      </w:r>
      <w:r w:rsidRPr="00650DF3">
        <w:rPr>
          <w:lang w:val="en-US"/>
        </w:rPr>
        <w:t>https://academic.oup.com/toxsci/article/125/1/248/1668305</w:t>
      </w:r>
      <w:r w:rsidRPr="00CA5357">
        <w:rPr>
          <w:lang w:val="en-US"/>
        </w:rPr>
        <w:t>.</w:t>
      </w:r>
      <w:r w:rsidRPr="00CA5357">
        <w:t> </w:t>
      </w:r>
    </w:p>
    <w:p w14:paraId="5F076BD0" w14:textId="54DBCD84" w:rsidR="004312E1" w:rsidRPr="004312E1" w:rsidRDefault="004312E1" w:rsidP="004312E1">
      <w:pPr>
        <w:pStyle w:val="ICHTextOnly"/>
      </w:pPr>
      <w:r w:rsidRPr="004312E1">
        <w:rPr>
          <w:b/>
          <w:bCs/>
          <w:lang w:val="en-US"/>
        </w:rPr>
        <w:lastRenderedPageBreak/>
        <w:t>Bisphenol A</w:t>
      </w:r>
      <w:r w:rsidRPr="004312E1">
        <w:t> </w:t>
      </w:r>
    </w:p>
    <w:p w14:paraId="3ABFF6FC" w14:textId="77777777" w:rsidR="004312E1" w:rsidRPr="004312E1" w:rsidRDefault="004312E1" w:rsidP="004312E1">
      <w:pPr>
        <w:pStyle w:val="ICHTextOnly"/>
      </w:pPr>
      <w:r w:rsidRPr="004312E1">
        <w:rPr>
          <w:b/>
          <w:bCs/>
          <w:lang w:val="en-US"/>
        </w:rPr>
        <w:t> </w:t>
      </w:r>
      <w:r w:rsidRPr="004312E1">
        <w:t> </w:t>
      </w:r>
    </w:p>
    <w:p w14:paraId="169C28FA" w14:textId="4DAD0BCC" w:rsidR="007508B5" w:rsidRPr="004312E1" w:rsidRDefault="007508B5" w:rsidP="004312E1">
      <w:pPr>
        <w:pStyle w:val="ICHTextOnly"/>
      </w:pPr>
      <w:r w:rsidRPr="007508B5">
        <w:rPr>
          <w:b/>
          <w:bCs/>
          <w:noProof/>
          <w:lang w:val="en-US"/>
        </w:rPr>
        <w:drawing>
          <wp:inline distT="0" distB="0" distL="0" distR="0" wp14:anchorId="682E2ABA" wp14:editId="4E29FE08">
            <wp:extent cx="1806781" cy="685800"/>
            <wp:effectExtent l="0" t="0" r="3175" b="0"/>
            <wp:docPr id="8529218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21888"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1834939" cy="696488"/>
                    </a:xfrm>
                    <a:prstGeom prst="rect">
                      <a:avLst/>
                    </a:prstGeom>
                  </pic:spPr>
                </pic:pic>
              </a:graphicData>
            </a:graphic>
          </wp:inline>
        </w:drawing>
      </w:r>
    </w:p>
    <w:p w14:paraId="7172F504" w14:textId="187F379A" w:rsidR="004312E1" w:rsidRPr="004312E1" w:rsidRDefault="004312E1" w:rsidP="004312E1">
      <w:pPr>
        <w:pStyle w:val="ICHTextOnly"/>
      </w:pPr>
      <w:r w:rsidRPr="004312E1">
        <w:br/>
      </w:r>
      <w:r w:rsidRPr="004312E1">
        <w:rPr>
          <w:b/>
          <w:bCs/>
        </w:rPr>
        <w:t xml:space="preserve">Summary of </w:t>
      </w:r>
      <w:r w:rsidR="0085527E" w:rsidRPr="003C59D0">
        <w:rPr>
          <w:b/>
          <w:bCs/>
        </w:rPr>
        <w:t xml:space="preserve">Acute Acceptable Exposures and Chronic PDE </w:t>
      </w:r>
      <w:r w:rsidRPr="004312E1">
        <w:rPr>
          <w:b/>
          <w:bCs/>
        </w:rPr>
        <w:t xml:space="preserve">Values for </w:t>
      </w:r>
      <w:r w:rsidR="0085527E">
        <w:rPr>
          <w:b/>
          <w:bCs/>
        </w:rPr>
        <w:br/>
      </w:r>
      <w:r w:rsidRPr="004312E1">
        <w:rPr>
          <w:b/>
          <w:bCs/>
          <w:lang w:val="en-US"/>
        </w:rPr>
        <w:t>Bisphenol A</w:t>
      </w:r>
      <w:r w:rsidRPr="004312E1">
        <w:rPr>
          <w:b/>
          <w:bCs/>
        </w:rPr>
        <w:t xml:space="preserve"> (CAS# </w:t>
      </w:r>
      <w:r w:rsidRPr="004312E1">
        <w:rPr>
          <w:b/>
          <w:bCs/>
          <w:lang w:val="en-US"/>
        </w:rPr>
        <w:t>80-05-7</w:t>
      </w:r>
      <w:r w:rsidRPr="004312E1">
        <w:rPr>
          <w:b/>
          <w:bCs/>
        </w:rPr>
        <w:t>)</w:t>
      </w:r>
      <w:r w:rsidRPr="004312E1">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2415"/>
        <w:gridCol w:w="2430"/>
      </w:tblGrid>
      <w:tr w:rsidR="004312E1" w:rsidRPr="004312E1" w14:paraId="2D2FDBF9" w14:textId="77777777" w:rsidTr="008968E9">
        <w:trPr>
          <w:trHeight w:val="300"/>
        </w:trPr>
        <w:tc>
          <w:tcPr>
            <w:tcW w:w="726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22E81A1" w14:textId="5CC073DA" w:rsidR="004312E1" w:rsidRPr="004312E1" w:rsidRDefault="004312E1" w:rsidP="008968E9">
            <w:pPr>
              <w:pStyle w:val="ICHTextOnly"/>
              <w:jc w:val="center"/>
              <w:divId w:val="475224343"/>
            </w:pPr>
            <w:r w:rsidRPr="004312E1">
              <w:rPr>
                <w:b/>
                <w:bCs/>
                <w:lang w:val="en-US"/>
              </w:rPr>
              <w:t>Bisphenol A</w:t>
            </w:r>
          </w:p>
        </w:tc>
      </w:tr>
      <w:tr w:rsidR="004312E1" w:rsidRPr="004312E1" w14:paraId="537A0F27" w14:textId="77777777" w:rsidTr="008968E9">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16BB2C" w14:textId="0733D863" w:rsidR="004312E1" w:rsidRPr="004312E1" w:rsidRDefault="0085527E" w:rsidP="008968E9">
            <w:pPr>
              <w:pStyle w:val="ICHTextOnly"/>
              <w:jc w:val="center"/>
            </w:pPr>
            <w:r>
              <w:rPr>
                <w:b/>
                <w:bCs/>
              </w:rPr>
              <w:t>Administration Route</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7470D" w14:textId="6A2A8EA8" w:rsidR="004312E1" w:rsidRPr="004312E1" w:rsidRDefault="004312E1" w:rsidP="008968E9">
            <w:pPr>
              <w:pStyle w:val="ICHTextOnly"/>
              <w:jc w:val="center"/>
            </w:pPr>
            <w:r w:rsidRPr="004312E1">
              <w:rPr>
                <w:b/>
                <w:bCs/>
              </w:rPr>
              <w:t>Oral </w:t>
            </w:r>
            <w:r w:rsidR="0085527E" w:rsidRPr="004312E1">
              <w:rPr>
                <w:b/>
                <w:bCs/>
              </w:rPr>
              <w:t>(µg/day)</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D7CD0" w14:textId="71D8211E" w:rsidR="004312E1" w:rsidRPr="004312E1" w:rsidRDefault="004312E1" w:rsidP="008968E9">
            <w:pPr>
              <w:pStyle w:val="ICHTextOnly"/>
              <w:jc w:val="center"/>
            </w:pPr>
            <w:r w:rsidRPr="004312E1">
              <w:rPr>
                <w:b/>
                <w:bCs/>
              </w:rPr>
              <w:t>Parenteral</w:t>
            </w:r>
            <w:r w:rsidRPr="004312E1">
              <w:t> </w:t>
            </w:r>
            <w:r w:rsidR="0085527E" w:rsidRPr="004312E1">
              <w:rPr>
                <w:b/>
                <w:bCs/>
              </w:rPr>
              <w:t>(µg/day)</w:t>
            </w:r>
          </w:p>
        </w:tc>
      </w:tr>
      <w:tr w:rsidR="004312E1" w:rsidRPr="004312E1" w14:paraId="2583B7B8" w14:textId="77777777" w:rsidTr="008968E9">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A431F9" w14:textId="0B7B8206" w:rsidR="004312E1" w:rsidRPr="004312E1" w:rsidRDefault="004312E1" w:rsidP="008968E9">
            <w:pPr>
              <w:pStyle w:val="ICHTextOnly"/>
              <w:jc w:val="center"/>
            </w:pPr>
            <w:r w:rsidRPr="004312E1">
              <w:rPr>
                <w:b/>
                <w:bCs/>
              </w:rPr>
              <w:t>Acute</w:t>
            </w:r>
            <w:r w:rsidR="0085527E">
              <w:rPr>
                <w:b/>
                <w:bCs/>
              </w:rPr>
              <w:t xml:space="preserve"> Acceptable Exposure</w:t>
            </w:r>
            <w:r w:rsidRPr="004312E1">
              <w:rPr>
                <w:b/>
                <w:bCs/>
              </w:rPr>
              <w:t>*</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DD907" w14:textId="6FC744EF" w:rsidR="004312E1" w:rsidRPr="004312E1" w:rsidRDefault="00771E0B" w:rsidP="008968E9">
            <w:pPr>
              <w:pStyle w:val="ICHTextOnly"/>
              <w:jc w:val="center"/>
            </w:pPr>
            <w:r>
              <w:rPr>
                <w:b/>
                <w:bCs/>
              </w:rPr>
              <w:t>2</w:t>
            </w:r>
            <w:r w:rsidR="00531B4C">
              <w:rPr>
                <w:b/>
                <w:bCs/>
              </w:rPr>
              <w:t>,</w:t>
            </w:r>
            <w:r>
              <w:rPr>
                <w:b/>
                <w:bCs/>
              </w:rPr>
              <w:t>100</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BA488" w14:textId="258E9C65" w:rsidR="004312E1" w:rsidRPr="004312E1" w:rsidRDefault="004312E1" w:rsidP="008968E9">
            <w:pPr>
              <w:pStyle w:val="ICHTextOnly"/>
              <w:jc w:val="center"/>
            </w:pPr>
            <w:r w:rsidRPr="004312E1">
              <w:rPr>
                <w:b/>
                <w:bCs/>
              </w:rPr>
              <w:t>21</w:t>
            </w:r>
          </w:p>
        </w:tc>
      </w:tr>
      <w:tr w:rsidR="004312E1" w:rsidRPr="004312E1" w14:paraId="176AB045" w14:textId="77777777" w:rsidTr="008968E9">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BDE2B" w14:textId="6B010BDA" w:rsidR="004312E1" w:rsidRPr="004312E1" w:rsidRDefault="004312E1" w:rsidP="008968E9">
            <w:pPr>
              <w:pStyle w:val="ICHTextOnly"/>
              <w:jc w:val="center"/>
            </w:pPr>
            <w:r w:rsidRPr="004312E1">
              <w:rPr>
                <w:b/>
                <w:bCs/>
              </w:rPr>
              <w:t>Chronic </w:t>
            </w:r>
            <w:r w:rsidR="0085527E" w:rsidRPr="0085527E">
              <w:rPr>
                <w:b/>
                <w:bCs/>
              </w:rPr>
              <w:t>PDE</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6E6AC" w14:textId="21E1DE0E" w:rsidR="004312E1" w:rsidRPr="004312E1" w:rsidRDefault="00771E0B" w:rsidP="008968E9">
            <w:pPr>
              <w:pStyle w:val="ICHTextOnly"/>
              <w:jc w:val="center"/>
            </w:pPr>
            <w:r>
              <w:rPr>
                <w:b/>
                <w:bCs/>
              </w:rPr>
              <w:t>420</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C2029" w14:textId="0B7A5F8D" w:rsidR="004312E1" w:rsidRPr="004312E1" w:rsidRDefault="004312E1" w:rsidP="008968E9">
            <w:pPr>
              <w:pStyle w:val="ICHTextOnly"/>
              <w:jc w:val="center"/>
            </w:pPr>
            <w:r w:rsidRPr="004312E1">
              <w:rPr>
                <w:b/>
                <w:bCs/>
              </w:rPr>
              <w:t>4</w:t>
            </w:r>
            <w:r w:rsidR="00771E0B">
              <w:rPr>
                <w:b/>
                <w:bCs/>
              </w:rPr>
              <w:t>.2</w:t>
            </w:r>
          </w:p>
        </w:tc>
      </w:tr>
    </w:tbl>
    <w:p w14:paraId="565CC4E6" w14:textId="6CA05FAD" w:rsidR="004312E1" w:rsidRPr="004312E1" w:rsidRDefault="004312E1" w:rsidP="001F30BC">
      <w:pPr>
        <w:pStyle w:val="ICHTextOnly"/>
        <w:spacing w:after="240"/>
      </w:pPr>
      <w:r w:rsidRPr="004312E1">
        <w:t xml:space="preserve">*Acute </w:t>
      </w:r>
      <w:r w:rsidR="0085527E">
        <w:t xml:space="preserve">Acceptable Exposure </w:t>
      </w:r>
      <w:r w:rsidRPr="004312E1">
        <w:t>value is applicable to ≤1-month daily administration  </w:t>
      </w:r>
    </w:p>
    <w:p w14:paraId="3FFA84CB" w14:textId="77777777" w:rsidR="004312E1" w:rsidRPr="004312E1" w:rsidRDefault="004312E1" w:rsidP="004312E1">
      <w:pPr>
        <w:pStyle w:val="ICHTextOnly"/>
      </w:pPr>
      <w:r w:rsidRPr="004312E1">
        <w:rPr>
          <w:b/>
          <w:bCs/>
        </w:rPr>
        <w:t>Introduction</w:t>
      </w:r>
      <w:r w:rsidRPr="004312E1">
        <w:t> </w:t>
      </w:r>
    </w:p>
    <w:p w14:paraId="0D60E8D1" w14:textId="07F23C92" w:rsidR="0085527E" w:rsidRPr="001F30BC" w:rsidRDefault="004312E1" w:rsidP="001F30BC">
      <w:pPr>
        <w:pStyle w:val="ICHTextOnly"/>
        <w:spacing w:after="240"/>
      </w:pPr>
      <w:r w:rsidRPr="004312E1">
        <w:rPr>
          <w:lang w:val="en-US"/>
        </w:rPr>
        <w:t>Bisphenol A (BPA) is 4,4'-methanediyldiphenol where the methylene hydrogens are replaced by two methyl groups. It is a key building block of polycarbonate plastic and a precursor for the manufacturing of monomers of epoxy resins. BPA may be present in primary packaging material and manufacturing equipment used in the manufacturing process of medicines, in medicine containers, medicine/device combinations, and in parenteral nutrition bags</w:t>
      </w:r>
      <w:r w:rsidR="00BA6253">
        <w:rPr>
          <w:lang w:val="en-US"/>
        </w:rPr>
        <w:t xml:space="preserve"> (Parris et al, 2020)</w:t>
      </w:r>
      <w:r w:rsidRPr="004312E1">
        <w:rPr>
          <w:lang w:val="en-US"/>
        </w:rPr>
        <w:t>. </w:t>
      </w:r>
      <w:r w:rsidRPr="004312E1">
        <w:t> </w:t>
      </w:r>
    </w:p>
    <w:p w14:paraId="132A8B0D" w14:textId="6CDDA070" w:rsidR="004312E1" w:rsidRPr="004312E1" w:rsidRDefault="004312E1" w:rsidP="004312E1">
      <w:pPr>
        <w:pStyle w:val="ICHTextOnly"/>
      </w:pPr>
      <w:r w:rsidRPr="004312E1">
        <w:rPr>
          <w:b/>
          <w:bCs/>
        </w:rPr>
        <w:t>Safety Summary and Limiting Toxicity </w:t>
      </w:r>
      <w:r w:rsidRPr="004312E1">
        <w:t> </w:t>
      </w:r>
    </w:p>
    <w:p w14:paraId="3E6F3A3B" w14:textId="68A1780C" w:rsidR="0085527E" w:rsidRPr="001F30BC" w:rsidRDefault="004312E1" w:rsidP="001F30BC">
      <w:pPr>
        <w:pStyle w:val="ICHTextOnly"/>
        <w:spacing w:after="240"/>
      </w:pPr>
      <w:r w:rsidRPr="004312E1">
        <w:rPr>
          <w:lang w:val="en-US"/>
        </w:rPr>
        <w:t>BPA is not mutagenic and non-genotoxic. ECHA listed BPA capable of producing skin sensitization responses in humans and may damage fertility or the unborn child. BPA is not a skin irritant; however, it is irritating to the eye</w:t>
      </w:r>
      <w:r w:rsidR="00BA6253">
        <w:rPr>
          <w:lang w:val="en-US"/>
        </w:rPr>
        <w:t xml:space="preserve"> (ECHA, 2024)</w:t>
      </w:r>
      <w:r w:rsidRPr="004312E1">
        <w:rPr>
          <w:lang w:val="en-US"/>
        </w:rPr>
        <w:t xml:space="preserve">. </w:t>
      </w:r>
      <w:r w:rsidRPr="004312E1">
        <w:t>The European Medicines Agency (</w:t>
      </w:r>
      <w:r w:rsidRPr="004312E1">
        <w:rPr>
          <w:lang w:val="en-US"/>
        </w:rPr>
        <w:t>EMA) obligates the use of an apical endpoint to minimize uncertainty in relation to human health risk assessment; ICH Q3E is aligned with EMA</w:t>
      </w:r>
      <w:r w:rsidR="00D61C82">
        <w:rPr>
          <w:lang w:val="en-US"/>
        </w:rPr>
        <w:t>,</w:t>
      </w:r>
      <w:r w:rsidRPr="004312E1">
        <w:rPr>
          <w:lang w:val="en-US"/>
        </w:rPr>
        <w:t xml:space="preserve"> and therefore non-mutagenic PDEs were derived for evaluation of BPA as a potential leachable in pharmaceutical products</w:t>
      </w:r>
      <w:r w:rsidR="00BA6253">
        <w:rPr>
          <w:lang w:val="en-US"/>
        </w:rPr>
        <w:t xml:space="preserve"> (</w:t>
      </w:r>
      <w:r w:rsidR="001A2E3D">
        <w:rPr>
          <w:lang w:val="en-US"/>
        </w:rPr>
        <w:t>EFSA</w:t>
      </w:r>
      <w:r w:rsidR="00A24A97">
        <w:rPr>
          <w:lang w:val="en-US"/>
        </w:rPr>
        <w:t xml:space="preserve"> </w:t>
      </w:r>
      <w:r w:rsidR="00BA6253">
        <w:rPr>
          <w:lang w:val="en-US"/>
        </w:rPr>
        <w:t xml:space="preserve">EMA, </w:t>
      </w:r>
      <w:r w:rsidR="001A2E3D">
        <w:rPr>
          <w:lang w:val="en-US"/>
        </w:rPr>
        <w:t>2023)</w:t>
      </w:r>
      <w:r w:rsidRPr="004312E1">
        <w:rPr>
          <w:lang w:val="en-US"/>
        </w:rPr>
        <w:t>. </w:t>
      </w:r>
      <w:r w:rsidRPr="004312E1">
        <w:t> </w:t>
      </w:r>
    </w:p>
    <w:p w14:paraId="121A2581" w14:textId="77777777" w:rsidR="002A60F4" w:rsidRDefault="0085527E" w:rsidP="004312E1">
      <w:pPr>
        <w:pStyle w:val="ICHTextOnly"/>
        <w:rPr>
          <w:b/>
          <w:bCs/>
        </w:rPr>
      </w:pPr>
      <w:r>
        <w:rPr>
          <w:b/>
          <w:bCs/>
        </w:rPr>
        <w:t xml:space="preserve">Oral Acceptable Exposure and </w:t>
      </w:r>
      <w:r w:rsidRPr="00CA5357">
        <w:rPr>
          <w:b/>
          <w:bCs/>
        </w:rPr>
        <w:t xml:space="preserve">PDE </w:t>
      </w:r>
    </w:p>
    <w:p w14:paraId="1EB38842" w14:textId="4C591F7F" w:rsidR="004312E1" w:rsidRPr="004312E1" w:rsidRDefault="004312E1" w:rsidP="001F30BC">
      <w:pPr>
        <w:pStyle w:val="ICHTextOnly"/>
        <w:spacing w:after="240"/>
      </w:pPr>
      <w:r w:rsidRPr="004312E1">
        <w:rPr>
          <w:lang w:val="en-US"/>
        </w:rPr>
        <w:t xml:space="preserve">BPA was tested in a two-generation study in mice (Tyl et al 2008). The GLP and OECD 416-compliant study in mice, evaluated dietary BPA concentrations of 0, 0.018, 0.18, 1.8, 30, 300, </w:t>
      </w:r>
      <w:r w:rsidRPr="004312E1">
        <w:rPr>
          <w:lang w:val="en-US"/>
        </w:rPr>
        <w:lastRenderedPageBreak/>
        <w:t>or 3500 ppm (approximately 0.003, 0.03, 0.3, 5, 50, or 600 mg/kg/day) ad libitum. Concurrent positive control group of dietary 17</w:t>
      </w:r>
      <w:r w:rsidR="002954D1">
        <w:rPr>
          <w:lang w:val="en-US"/>
        </w:rPr>
        <w:t>β</w:t>
      </w:r>
      <w:r w:rsidRPr="004312E1">
        <w:rPr>
          <w:lang w:val="en-US"/>
        </w:rPr>
        <w:t>-estradiol (0.5 ppm; 28 per sex) was included to evaluate potential for endocrine disruption. </w:t>
      </w:r>
      <w:r w:rsidRPr="004312E1">
        <w:t> </w:t>
      </w:r>
    </w:p>
    <w:p w14:paraId="687F1DDF" w14:textId="77777777" w:rsidR="004312E1" w:rsidRPr="004312E1" w:rsidRDefault="004312E1" w:rsidP="001F30BC">
      <w:pPr>
        <w:pStyle w:val="ICHTextOnly"/>
        <w:spacing w:after="240"/>
      </w:pPr>
      <w:r w:rsidRPr="004312E1">
        <w:rPr>
          <w:lang w:val="en-US"/>
        </w:rPr>
        <w:t>F0 generation animals received respective formulations in the diet for 8 weeks prior to mating (i.e., until ~14 weeks of age). The animals were then mated for a period of 14 days. Animals continued dosing through gestation (~20 days) and lactation (3 weeks). </w:t>
      </w:r>
      <w:r w:rsidRPr="004312E1">
        <w:t> </w:t>
      </w:r>
    </w:p>
    <w:p w14:paraId="1B45499F" w14:textId="1B15E4B1" w:rsidR="001F30BC" w:rsidRDefault="004312E1" w:rsidP="004312E1">
      <w:pPr>
        <w:pStyle w:val="ICHTextOnly"/>
      </w:pPr>
      <w:r w:rsidRPr="004312E1">
        <w:rPr>
          <w:lang w:val="en-US"/>
        </w:rPr>
        <w:t>No BPA-related effects at any dose were observed for adult mating, fertility or gestational indices, ovarian primordial follicle counts, estrous cyclicity, pre-coital interval, offspring sex ratios or post-natal survival, sperm parameters or reproductive organ weights or histopathology (including the testes and prostate). Systemic effects observed in adults were centrilobular hepatocyte hypertrophy at ≥300 ppm, reduced body weight, increased kidney and liver weights, centrilobular hepatocyte hypertrophy, and renal nephropathy in males. In conclusion, the NOAEL for reproductive toxicity was 300 ppm (~50 mg/kg/day) and NOEL for adult (F0) systemic toxicity was 30 ppm (~5 mg/kg/day). </w:t>
      </w:r>
      <w:r w:rsidRPr="004312E1">
        <w:t> </w:t>
      </w:r>
    </w:p>
    <w:p w14:paraId="31F32A7A" w14:textId="77777777" w:rsidR="001F30BC" w:rsidRPr="004312E1" w:rsidRDefault="001F30BC" w:rsidP="004312E1">
      <w:pPr>
        <w:pStyle w:val="ICHTextOnly"/>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4765"/>
      </w:tblGrid>
      <w:tr w:rsidR="004312E1" w:rsidRPr="004312E1" w14:paraId="4FDE0B43" w14:textId="77777777" w:rsidTr="0085527E">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5BB28F" w14:textId="03B7714D" w:rsidR="004312E1" w:rsidRPr="004312E1" w:rsidRDefault="004312E1" w:rsidP="004312E1">
            <w:pPr>
              <w:pStyle w:val="ICHTextOnly"/>
              <w:divId w:val="614600881"/>
            </w:pPr>
            <w:r w:rsidRPr="004312E1">
              <w:rPr>
                <w:b/>
                <w:bCs/>
              </w:rPr>
              <w:t>Oral Calculation</w:t>
            </w:r>
            <w:r w:rsidR="00524FC0">
              <w:rPr>
                <w:b/>
                <w:bCs/>
              </w:rPr>
              <w:t>s</w:t>
            </w:r>
            <w:r w:rsidRPr="004312E1">
              <w:rPr>
                <w:b/>
                <w:bCs/>
              </w:rPr>
              <w:t> </w:t>
            </w:r>
            <w:r w:rsidRPr="004312E1">
              <w:t> </w:t>
            </w:r>
          </w:p>
        </w:tc>
      </w:tr>
      <w:tr w:rsidR="004312E1" w:rsidRPr="004312E1" w14:paraId="6D41497C" w14:textId="77777777" w:rsidTr="002954D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1462F816" w14:textId="6961C895" w:rsidR="004312E1" w:rsidRPr="004312E1" w:rsidRDefault="004312E1" w:rsidP="004312E1">
            <w:pPr>
              <w:pStyle w:val="ICHTextOnly"/>
            </w:pPr>
            <w:proofErr w:type="spellStart"/>
            <w:r w:rsidRPr="004312E1">
              <w:rPr>
                <w:b/>
                <w:bCs/>
              </w:rPr>
              <w:t>P</w:t>
            </w:r>
            <w:r w:rsidR="001D70B4">
              <w:rPr>
                <w:b/>
                <w:bCs/>
              </w:rPr>
              <w:t>o</w:t>
            </w:r>
            <w:r w:rsidRPr="004312E1">
              <w:rPr>
                <w:b/>
                <w:bCs/>
              </w:rPr>
              <w:t>D</w:t>
            </w:r>
            <w:proofErr w:type="spellEnd"/>
            <w:r w:rsidRPr="004312E1">
              <w:t> </w:t>
            </w:r>
          </w:p>
        </w:tc>
        <w:tc>
          <w:tcPr>
            <w:tcW w:w="4765" w:type="dxa"/>
            <w:tcBorders>
              <w:top w:val="single" w:sz="6" w:space="0" w:color="auto"/>
              <w:left w:val="single" w:sz="6" w:space="0" w:color="auto"/>
              <w:bottom w:val="single" w:sz="6" w:space="0" w:color="auto"/>
              <w:right w:val="single" w:sz="6" w:space="0" w:color="auto"/>
            </w:tcBorders>
            <w:shd w:val="clear" w:color="auto" w:fill="auto"/>
            <w:hideMark/>
          </w:tcPr>
          <w:p w14:paraId="33D4294D" w14:textId="77777777" w:rsidR="004312E1" w:rsidRPr="004312E1" w:rsidRDefault="004312E1" w:rsidP="004312E1">
            <w:pPr>
              <w:pStyle w:val="ICHTextOnly"/>
            </w:pPr>
            <w:r w:rsidRPr="004312E1">
              <w:rPr>
                <w:b/>
                <w:bCs/>
              </w:rPr>
              <w:t>5 mg/kg/day</w:t>
            </w:r>
            <w:r w:rsidRPr="004312E1">
              <w:t> </w:t>
            </w:r>
          </w:p>
        </w:tc>
      </w:tr>
      <w:tr w:rsidR="004312E1" w:rsidRPr="004312E1" w14:paraId="5A77D96F" w14:textId="77777777" w:rsidTr="002954D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CAD0411" w14:textId="77777777" w:rsidR="004312E1" w:rsidRPr="004312E1" w:rsidRDefault="004312E1" w:rsidP="004312E1">
            <w:pPr>
              <w:pStyle w:val="ICHTextOnly"/>
            </w:pPr>
            <w:r w:rsidRPr="004312E1">
              <w:rPr>
                <w:b/>
                <w:bCs/>
              </w:rPr>
              <w:t>BW</w:t>
            </w:r>
            <w:r w:rsidRPr="004312E1">
              <w:t> </w:t>
            </w:r>
          </w:p>
        </w:tc>
        <w:tc>
          <w:tcPr>
            <w:tcW w:w="4765" w:type="dxa"/>
            <w:tcBorders>
              <w:top w:val="single" w:sz="6" w:space="0" w:color="auto"/>
              <w:left w:val="single" w:sz="6" w:space="0" w:color="auto"/>
              <w:bottom w:val="single" w:sz="6" w:space="0" w:color="auto"/>
              <w:right w:val="single" w:sz="6" w:space="0" w:color="auto"/>
            </w:tcBorders>
            <w:shd w:val="clear" w:color="auto" w:fill="auto"/>
            <w:hideMark/>
          </w:tcPr>
          <w:p w14:paraId="14820148" w14:textId="77777777" w:rsidR="004312E1" w:rsidRPr="004312E1" w:rsidRDefault="004312E1" w:rsidP="004312E1">
            <w:pPr>
              <w:pStyle w:val="ICHTextOnly"/>
            </w:pPr>
            <w:r w:rsidRPr="004312E1">
              <w:rPr>
                <w:b/>
                <w:bCs/>
              </w:rPr>
              <w:t>50 kg</w:t>
            </w:r>
            <w:r w:rsidRPr="004312E1">
              <w:t> </w:t>
            </w:r>
          </w:p>
        </w:tc>
      </w:tr>
      <w:tr w:rsidR="004312E1" w:rsidRPr="004312E1" w14:paraId="54140D85" w14:textId="77777777" w:rsidTr="002954D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42DD4C98" w14:textId="77777777" w:rsidR="004312E1" w:rsidRPr="004312E1" w:rsidRDefault="004312E1" w:rsidP="004312E1">
            <w:pPr>
              <w:pStyle w:val="ICHTextOnly"/>
            </w:pPr>
            <w:r w:rsidRPr="004312E1">
              <w:rPr>
                <w:b/>
                <w:bCs/>
              </w:rPr>
              <w:t>F1 (mouse)</w:t>
            </w:r>
            <w:r w:rsidRPr="004312E1">
              <w:t> </w:t>
            </w:r>
          </w:p>
        </w:tc>
        <w:tc>
          <w:tcPr>
            <w:tcW w:w="4765" w:type="dxa"/>
            <w:tcBorders>
              <w:top w:val="single" w:sz="6" w:space="0" w:color="auto"/>
              <w:left w:val="single" w:sz="6" w:space="0" w:color="auto"/>
              <w:bottom w:val="single" w:sz="6" w:space="0" w:color="auto"/>
              <w:right w:val="single" w:sz="6" w:space="0" w:color="auto"/>
            </w:tcBorders>
            <w:shd w:val="clear" w:color="auto" w:fill="auto"/>
            <w:hideMark/>
          </w:tcPr>
          <w:p w14:paraId="3ED031D2" w14:textId="77777777" w:rsidR="004312E1" w:rsidRPr="004312E1" w:rsidRDefault="004312E1" w:rsidP="004312E1">
            <w:pPr>
              <w:pStyle w:val="ICHTextOnly"/>
            </w:pPr>
            <w:r w:rsidRPr="004312E1">
              <w:rPr>
                <w:b/>
                <w:bCs/>
              </w:rPr>
              <w:t>12</w:t>
            </w:r>
            <w:r w:rsidRPr="004312E1">
              <w:t> </w:t>
            </w:r>
          </w:p>
        </w:tc>
      </w:tr>
      <w:tr w:rsidR="004312E1" w:rsidRPr="004312E1" w14:paraId="6008FF98" w14:textId="77777777" w:rsidTr="002954D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2057850E" w14:textId="77777777" w:rsidR="004312E1" w:rsidRPr="004312E1" w:rsidRDefault="004312E1" w:rsidP="004312E1">
            <w:pPr>
              <w:pStyle w:val="ICHTextOnly"/>
            </w:pPr>
            <w:r w:rsidRPr="004312E1">
              <w:rPr>
                <w:b/>
                <w:bCs/>
              </w:rPr>
              <w:t>F2 (intra-species variability)</w:t>
            </w:r>
            <w:r w:rsidRPr="004312E1">
              <w:t> </w:t>
            </w:r>
          </w:p>
        </w:tc>
        <w:tc>
          <w:tcPr>
            <w:tcW w:w="4765" w:type="dxa"/>
            <w:tcBorders>
              <w:top w:val="single" w:sz="6" w:space="0" w:color="auto"/>
              <w:left w:val="single" w:sz="6" w:space="0" w:color="auto"/>
              <w:bottom w:val="single" w:sz="6" w:space="0" w:color="auto"/>
              <w:right w:val="single" w:sz="6" w:space="0" w:color="auto"/>
            </w:tcBorders>
            <w:shd w:val="clear" w:color="auto" w:fill="auto"/>
            <w:hideMark/>
          </w:tcPr>
          <w:p w14:paraId="5898267A" w14:textId="77777777" w:rsidR="004312E1" w:rsidRPr="004312E1" w:rsidRDefault="004312E1" w:rsidP="004312E1">
            <w:pPr>
              <w:pStyle w:val="ICHTextOnly"/>
            </w:pPr>
            <w:r w:rsidRPr="004312E1">
              <w:rPr>
                <w:b/>
                <w:bCs/>
              </w:rPr>
              <w:t>10</w:t>
            </w:r>
            <w:r w:rsidRPr="004312E1">
              <w:t> </w:t>
            </w:r>
          </w:p>
        </w:tc>
      </w:tr>
      <w:tr w:rsidR="0085527E" w:rsidRPr="004312E1" w14:paraId="674E2D2E" w14:textId="77777777" w:rsidTr="002954D1">
        <w:trPr>
          <w:trHeight w:val="374"/>
        </w:trPr>
        <w:tc>
          <w:tcPr>
            <w:tcW w:w="4245" w:type="dxa"/>
            <w:vMerge w:val="restart"/>
            <w:tcBorders>
              <w:top w:val="single" w:sz="6" w:space="0" w:color="auto"/>
              <w:left w:val="single" w:sz="6" w:space="0" w:color="auto"/>
              <w:right w:val="single" w:sz="6" w:space="0" w:color="auto"/>
            </w:tcBorders>
            <w:shd w:val="clear" w:color="auto" w:fill="auto"/>
            <w:hideMark/>
          </w:tcPr>
          <w:p w14:paraId="54424BED" w14:textId="30939A1D" w:rsidR="0085527E" w:rsidRPr="004312E1" w:rsidRDefault="0085527E" w:rsidP="0085527E">
            <w:pPr>
              <w:pStyle w:val="ICHTextOnly"/>
            </w:pPr>
            <w:r w:rsidRPr="004312E1">
              <w:rPr>
                <w:b/>
                <w:bCs/>
              </w:rPr>
              <w:t>F3 (</w:t>
            </w:r>
            <w:r w:rsidR="00A61A80" w:rsidRPr="004312E1">
              <w:rPr>
                <w:b/>
                <w:bCs/>
              </w:rPr>
              <w:t>P</w:t>
            </w:r>
            <w:r w:rsidR="00A61A80">
              <w:rPr>
                <w:b/>
                <w:bCs/>
              </w:rPr>
              <w:t>O</w:t>
            </w:r>
            <w:r w:rsidR="00A61A80" w:rsidRPr="004312E1">
              <w:rPr>
                <w:b/>
                <w:bCs/>
              </w:rPr>
              <w:t xml:space="preserve">D </w:t>
            </w:r>
            <w:r w:rsidRPr="004312E1">
              <w:rPr>
                <w:b/>
                <w:bCs/>
              </w:rPr>
              <w:t>study duration: 4 months)</w:t>
            </w:r>
            <w:r w:rsidRPr="004312E1">
              <w:t> </w:t>
            </w:r>
          </w:p>
        </w:tc>
        <w:tc>
          <w:tcPr>
            <w:tcW w:w="4765" w:type="dxa"/>
            <w:tcBorders>
              <w:top w:val="single" w:sz="6" w:space="0" w:color="auto"/>
              <w:left w:val="single" w:sz="6" w:space="0" w:color="auto"/>
              <w:bottom w:val="single" w:sz="6" w:space="0" w:color="auto"/>
              <w:right w:val="single" w:sz="6" w:space="0" w:color="auto"/>
            </w:tcBorders>
            <w:shd w:val="clear" w:color="auto" w:fill="auto"/>
            <w:hideMark/>
          </w:tcPr>
          <w:p w14:paraId="372D7E2C" w14:textId="5ADAAFC6" w:rsidR="0085527E" w:rsidRPr="004312E1" w:rsidRDefault="0085527E" w:rsidP="0085527E">
            <w:pPr>
              <w:pStyle w:val="ICHTextOnly"/>
            </w:pPr>
            <w:r w:rsidRPr="00455A9B">
              <w:rPr>
                <w:b/>
                <w:bCs/>
              </w:rPr>
              <w:t xml:space="preserve">1 for Acute Acceptable Exposure </w:t>
            </w:r>
          </w:p>
        </w:tc>
      </w:tr>
      <w:tr w:rsidR="0085527E" w:rsidRPr="004312E1" w14:paraId="4B6B0200" w14:textId="77777777" w:rsidTr="002954D1">
        <w:trPr>
          <w:trHeight w:val="373"/>
        </w:trPr>
        <w:tc>
          <w:tcPr>
            <w:tcW w:w="4245" w:type="dxa"/>
            <w:vMerge/>
            <w:tcBorders>
              <w:left w:val="single" w:sz="6" w:space="0" w:color="auto"/>
              <w:bottom w:val="single" w:sz="6" w:space="0" w:color="auto"/>
              <w:right w:val="single" w:sz="6" w:space="0" w:color="auto"/>
            </w:tcBorders>
            <w:shd w:val="clear" w:color="auto" w:fill="auto"/>
          </w:tcPr>
          <w:p w14:paraId="79C95591" w14:textId="77777777" w:rsidR="0085527E" w:rsidRPr="004312E1" w:rsidRDefault="0085527E" w:rsidP="0085527E">
            <w:pPr>
              <w:pStyle w:val="ICHTextOnly"/>
              <w:rPr>
                <w:b/>
                <w:bCs/>
              </w:rPr>
            </w:pPr>
          </w:p>
        </w:tc>
        <w:tc>
          <w:tcPr>
            <w:tcW w:w="4765" w:type="dxa"/>
            <w:tcBorders>
              <w:top w:val="single" w:sz="6" w:space="0" w:color="auto"/>
              <w:left w:val="single" w:sz="6" w:space="0" w:color="auto"/>
              <w:bottom w:val="single" w:sz="6" w:space="0" w:color="auto"/>
              <w:right w:val="single" w:sz="6" w:space="0" w:color="auto"/>
            </w:tcBorders>
            <w:shd w:val="clear" w:color="auto" w:fill="auto"/>
          </w:tcPr>
          <w:p w14:paraId="3BE49669" w14:textId="7879F578" w:rsidR="0085527E" w:rsidRPr="004312E1" w:rsidRDefault="0085527E" w:rsidP="0085527E">
            <w:pPr>
              <w:pStyle w:val="ICHTextOnly"/>
              <w:rPr>
                <w:b/>
                <w:bCs/>
              </w:rPr>
            </w:pPr>
            <w:r w:rsidRPr="00455A9B">
              <w:rPr>
                <w:b/>
                <w:bCs/>
              </w:rPr>
              <w:t xml:space="preserve">5 for Chronic PDE </w:t>
            </w:r>
          </w:p>
        </w:tc>
      </w:tr>
      <w:tr w:rsidR="004312E1" w:rsidRPr="004312E1" w14:paraId="08E5ADEF" w14:textId="77777777" w:rsidTr="002954D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D283DB0" w14:textId="77777777" w:rsidR="004312E1" w:rsidRPr="004312E1" w:rsidRDefault="004312E1" w:rsidP="004312E1">
            <w:pPr>
              <w:pStyle w:val="ICHTextOnly"/>
            </w:pPr>
            <w:r w:rsidRPr="004312E1">
              <w:rPr>
                <w:b/>
                <w:bCs/>
              </w:rPr>
              <w:t>F4 (No severe toxicity)</w:t>
            </w:r>
            <w:r w:rsidRPr="004312E1">
              <w:t> </w:t>
            </w:r>
          </w:p>
        </w:tc>
        <w:tc>
          <w:tcPr>
            <w:tcW w:w="4765" w:type="dxa"/>
            <w:tcBorders>
              <w:top w:val="single" w:sz="6" w:space="0" w:color="auto"/>
              <w:left w:val="single" w:sz="6" w:space="0" w:color="auto"/>
              <w:bottom w:val="single" w:sz="6" w:space="0" w:color="auto"/>
              <w:right w:val="single" w:sz="6" w:space="0" w:color="auto"/>
            </w:tcBorders>
            <w:shd w:val="clear" w:color="auto" w:fill="auto"/>
            <w:hideMark/>
          </w:tcPr>
          <w:p w14:paraId="4BD36C11" w14:textId="77777777" w:rsidR="004312E1" w:rsidRPr="004312E1" w:rsidRDefault="004312E1" w:rsidP="004312E1">
            <w:pPr>
              <w:pStyle w:val="ICHTextOnly"/>
            </w:pPr>
            <w:r w:rsidRPr="004312E1">
              <w:rPr>
                <w:b/>
                <w:bCs/>
              </w:rPr>
              <w:t>1</w:t>
            </w:r>
            <w:r w:rsidRPr="004312E1">
              <w:t> </w:t>
            </w:r>
          </w:p>
        </w:tc>
      </w:tr>
      <w:tr w:rsidR="00531B4C" w:rsidRPr="004312E1" w14:paraId="4F638B22" w14:textId="77777777" w:rsidTr="002954D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61F5FDE6" w14:textId="2EF5AB6F" w:rsidR="00531B4C" w:rsidRPr="004312E1" w:rsidRDefault="00531B4C" w:rsidP="00531B4C">
            <w:pPr>
              <w:pStyle w:val="ICHTextOnly"/>
              <w:rPr>
                <w:b/>
                <w:bCs/>
              </w:rPr>
            </w:pPr>
            <w:r w:rsidRPr="004312E1">
              <w:rPr>
                <w:b/>
                <w:bCs/>
              </w:rPr>
              <w:t>F5 (NOEL)</w:t>
            </w:r>
            <w:r w:rsidRPr="004312E1">
              <w:t> </w:t>
            </w:r>
          </w:p>
        </w:tc>
        <w:tc>
          <w:tcPr>
            <w:tcW w:w="4765" w:type="dxa"/>
            <w:tcBorders>
              <w:top w:val="single" w:sz="6" w:space="0" w:color="auto"/>
              <w:left w:val="single" w:sz="6" w:space="0" w:color="auto"/>
              <w:bottom w:val="single" w:sz="6" w:space="0" w:color="auto"/>
              <w:right w:val="single" w:sz="6" w:space="0" w:color="auto"/>
            </w:tcBorders>
            <w:shd w:val="clear" w:color="auto" w:fill="auto"/>
          </w:tcPr>
          <w:p w14:paraId="351A5CB6" w14:textId="21BE9060" w:rsidR="00531B4C" w:rsidRPr="004312E1" w:rsidRDefault="00531B4C" w:rsidP="00531B4C">
            <w:pPr>
              <w:pStyle w:val="ICHTextOnly"/>
              <w:rPr>
                <w:b/>
                <w:bCs/>
              </w:rPr>
            </w:pPr>
            <w:r w:rsidRPr="004312E1">
              <w:rPr>
                <w:b/>
                <w:bCs/>
              </w:rPr>
              <w:t>1 </w:t>
            </w:r>
            <w:r w:rsidRPr="004312E1">
              <w:t> </w:t>
            </w:r>
          </w:p>
        </w:tc>
      </w:tr>
      <w:tr w:rsidR="00531B4C" w:rsidRPr="004312E1" w14:paraId="2EEE55EB" w14:textId="77777777" w:rsidTr="00531B4C">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6E4E508F" w14:textId="13C6661B" w:rsidR="00531B4C" w:rsidRPr="004312E1" w:rsidRDefault="00531B4C" w:rsidP="00531B4C">
            <w:pPr>
              <w:pStyle w:val="ICHTextOnly"/>
            </w:pPr>
            <w:r>
              <w:rPr>
                <w:b/>
                <w:bCs/>
              </w:rPr>
              <w:t>F6 (</w:t>
            </w:r>
            <w:proofErr w:type="spellStart"/>
            <w:r>
              <w:rPr>
                <w:b/>
                <w:bCs/>
              </w:rPr>
              <w:t>PoD</w:t>
            </w:r>
            <w:proofErr w:type="spellEnd"/>
            <w:r>
              <w:rPr>
                <w:b/>
                <w:bCs/>
              </w:rPr>
              <w:t xml:space="preserve"> route extrapolation)</w:t>
            </w:r>
          </w:p>
        </w:tc>
        <w:tc>
          <w:tcPr>
            <w:tcW w:w="4765" w:type="dxa"/>
            <w:tcBorders>
              <w:top w:val="single" w:sz="6" w:space="0" w:color="auto"/>
              <w:left w:val="single" w:sz="6" w:space="0" w:color="auto"/>
              <w:bottom w:val="single" w:sz="6" w:space="0" w:color="auto"/>
              <w:right w:val="single" w:sz="6" w:space="0" w:color="auto"/>
            </w:tcBorders>
            <w:shd w:val="clear" w:color="auto" w:fill="auto"/>
          </w:tcPr>
          <w:p w14:paraId="4D757AA1" w14:textId="3D47DBBF" w:rsidR="00531B4C" w:rsidRPr="004312E1" w:rsidRDefault="00531B4C" w:rsidP="00531B4C">
            <w:pPr>
              <w:pStyle w:val="ICHTextOnly"/>
            </w:pPr>
            <w:r>
              <w:rPr>
                <w:b/>
                <w:bCs/>
              </w:rPr>
              <w:t>Not applicable</w:t>
            </w:r>
          </w:p>
        </w:tc>
      </w:tr>
      <w:tr w:rsidR="00531B4C" w:rsidRPr="004312E1" w14:paraId="54488A12" w14:textId="77777777" w:rsidTr="0085527E">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auto"/>
          </w:tcPr>
          <w:p w14:paraId="66CFFDCD" w14:textId="52C7BB4F" w:rsidR="00531B4C" w:rsidRPr="004312E1" w:rsidRDefault="00531B4C" w:rsidP="00531B4C">
            <w:pPr>
              <w:pStyle w:val="ICHTextOnly"/>
              <w:rPr>
                <w:b/>
                <w:bCs/>
              </w:rPr>
            </w:pPr>
            <w:r w:rsidRPr="004312E1">
              <w:rPr>
                <w:b/>
                <w:bCs/>
              </w:rPr>
              <w:t xml:space="preserve">Acute </w:t>
            </w:r>
            <w:r>
              <w:rPr>
                <w:b/>
                <w:bCs/>
              </w:rPr>
              <w:t>Acceptable Exposure</w:t>
            </w:r>
            <w:r w:rsidRPr="004312E1">
              <w:rPr>
                <w:b/>
                <w:bCs/>
              </w:rPr>
              <w:t xml:space="preserve"> = 5 mg/kg/day x 50 kg / (12 x 10 x 1 x 1 x 1) </w:t>
            </w:r>
            <w:r>
              <w:rPr>
                <w:b/>
                <w:bCs/>
              </w:rPr>
              <w:t xml:space="preserve">= 2.1 mg x 1,000 </w:t>
            </w:r>
            <w:r w:rsidRPr="004312E1">
              <w:rPr>
                <w:b/>
                <w:bCs/>
              </w:rPr>
              <w:t>µg/</w:t>
            </w:r>
            <w:r>
              <w:rPr>
                <w:b/>
                <w:bCs/>
              </w:rPr>
              <w:t xml:space="preserve">mg </w:t>
            </w:r>
            <w:r w:rsidRPr="004312E1">
              <w:rPr>
                <w:b/>
                <w:bCs/>
              </w:rPr>
              <w:t>= 2</w:t>
            </w:r>
            <w:r>
              <w:rPr>
                <w:b/>
                <w:bCs/>
              </w:rPr>
              <w:t>,</w:t>
            </w:r>
            <w:r w:rsidRPr="004312E1">
              <w:rPr>
                <w:b/>
                <w:bCs/>
              </w:rPr>
              <w:t>100 µg/day</w:t>
            </w:r>
            <w:r w:rsidRPr="004312E1">
              <w:t> </w:t>
            </w:r>
          </w:p>
        </w:tc>
      </w:tr>
      <w:tr w:rsidR="00531B4C" w:rsidRPr="004312E1" w14:paraId="572970D5" w14:textId="77777777" w:rsidTr="0085527E">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62F3A3" w14:textId="783BD1AF" w:rsidR="00531B4C" w:rsidRPr="004312E1" w:rsidRDefault="00531B4C" w:rsidP="00531B4C">
            <w:pPr>
              <w:pStyle w:val="ICHTextOnly"/>
            </w:pPr>
            <w:r w:rsidRPr="004312E1">
              <w:rPr>
                <w:b/>
                <w:bCs/>
              </w:rPr>
              <w:t>Chronic PDE = 5 mg/kg/day x 50 kg / (12 x 10 x 5 x 1 x 1) =</w:t>
            </w:r>
            <w:r>
              <w:rPr>
                <w:b/>
                <w:bCs/>
              </w:rPr>
              <w:t xml:space="preserve"> 0.42 mg x 1,000 </w:t>
            </w:r>
            <w:r w:rsidRPr="004312E1">
              <w:rPr>
                <w:b/>
                <w:bCs/>
              </w:rPr>
              <w:t>µg/</w:t>
            </w:r>
            <w:r>
              <w:rPr>
                <w:b/>
                <w:bCs/>
              </w:rPr>
              <w:t>mg</w:t>
            </w:r>
            <w:r>
              <w:rPr>
                <w:b/>
                <w:bCs/>
              </w:rPr>
              <w:br/>
              <w:t xml:space="preserve"> =</w:t>
            </w:r>
            <w:r w:rsidR="00594055">
              <w:rPr>
                <w:b/>
                <w:bCs/>
              </w:rPr>
              <w:t xml:space="preserve"> </w:t>
            </w:r>
            <w:r w:rsidRPr="004312E1">
              <w:rPr>
                <w:b/>
                <w:bCs/>
              </w:rPr>
              <w:t>420 µg/day</w:t>
            </w:r>
            <w:r w:rsidRPr="004312E1">
              <w:t> </w:t>
            </w:r>
          </w:p>
        </w:tc>
      </w:tr>
    </w:tbl>
    <w:p w14:paraId="07043FD6" w14:textId="3267E3F7" w:rsidR="00107200" w:rsidRDefault="004312E1" w:rsidP="00EF188C">
      <w:pPr>
        <w:pStyle w:val="ICHTextOnly"/>
        <w:rPr>
          <w:b/>
          <w:bCs/>
        </w:rPr>
      </w:pPr>
      <w:r w:rsidRPr="004312E1">
        <w:t> </w:t>
      </w:r>
      <w:r w:rsidR="00107200">
        <w:rPr>
          <w:b/>
          <w:bCs/>
        </w:rPr>
        <w:br w:type="page"/>
      </w:r>
    </w:p>
    <w:p w14:paraId="0123B018" w14:textId="4ED2C60A" w:rsidR="004312E1" w:rsidRPr="004312E1" w:rsidRDefault="004312E1" w:rsidP="004312E1">
      <w:pPr>
        <w:pStyle w:val="ICHTextOnly"/>
      </w:pPr>
      <w:r w:rsidRPr="004312E1">
        <w:rPr>
          <w:b/>
          <w:bCs/>
        </w:rPr>
        <w:lastRenderedPageBreak/>
        <w:t xml:space="preserve">Parenteral </w:t>
      </w:r>
      <w:r w:rsidR="0085527E">
        <w:rPr>
          <w:b/>
          <w:bCs/>
        </w:rPr>
        <w:t xml:space="preserve">Acceptable Exposure and </w:t>
      </w:r>
      <w:r w:rsidR="0085527E" w:rsidRPr="00CA5357">
        <w:rPr>
          <w:b/>
          <w:bCs/>
        </w:rPr>
        <w:t>PDE</w:t>
      </w:r>
    </w:p>
    <w:p w14:paraId="51273C58" w14:textId="77777777" w:rsidR="004312E1" w:rsidRDefault="004312E1" w:rsidP="004312E1">
      <w:pPr>
        <w:pStyle w:val="ICHTextOnly"/>
      </w:pPr>
      <w:r w:rsidRPr="004312E1">
        <w:rPr>
          <w:lang w:val="en-US"/>
        </w:rPr>
        <w:t>In the absence of parenteral administration repeat dose toxicity studies, the same POD study was used to derive the parenteral PDE with the inclusion of a bioavailability modifying factor (F6). Oral systemic bioavailability of unconjugated BPA of 2.8% in rats and less than 1% in mice, monkey and dogs was reported (ANSES, 2013). </w:t>
      </w:r>
      <w:r w:rsidRPr="004312E1">
        <w:t> </w:t>
      </w:r>
    </w:p>
    <w:p w14:paraId="50C08EEA" w14:textId="77777777" w:rsidR="00107200" w:rsidRPr="004312E1" w:rsidRDefault="00107200" w:rsidP="004312E1">
      <w:pPr>
        <w:pStyle w:val="ICHTextOnly"/>
      </w:pPr>
    </w:p>
    <w:tbl>
      <w:tblPr>
        <w:tblW w:w="901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76"/>
        <w:gridCol w:w="5039"/>
      </w:tblGrid>
      <w:tr w:rsidR="004312E1" w:rsidRPr="004312E1" w14:paraId="44EE9961" w14:textId="77777777" w:rsidTr="0085527E">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942DB94" w14:textId="491FF79D" w:rsidR="004312E1" w:rsidRPr="004312E1" w:rsidRDefault="004312E1" w:rsidP="004312E1">
            <w:pPr>
              <w:pStyle w:val="ICHTextOnly"/>
              <w:divId w:val="952513580"/>
            </w:pPr>
            <w:r w:rsidRPr="004312E1">
              <w:rPr>
                <w:b/>
                <w:bCs/>
              </w:rPr>
              <w:t>Parenteral Calculation</w:t>
            </w:r>
            <w:r w:rsidRPr="004312E1">
              <w:t> </w:t>
            </w:r>
          </w:p>
        </w:tc>
      </w:tr>
      <w:tr w:rsidR="004312E1" w:rsidRPr="004312E1" w14:paraId="7447DC21" w14:textId="77777777" w:rsidTr="002954D1">
        <w:trPr>
          <w:trHeight w:val="300"/>
        </w:trPr>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107EE533" w14:textId="77777777" w:rsidR="004312E1" w:rsidRPr="004312E1" w:rsidRDefault="004312E1" w:rsidP="004312E1">
            <w:pPr>
              <w:pStyle w:val="ICHTextOnly"/>
            </w:pPr>
            <w:r w:rsidRPr="004312E1">
              <w:rPr>
                <w:b/>
                <w:bCs/>
              </w:rPr>
              <w:t>POD</w:t>
            </w:r>
            <w:r w:rsidRPr="004312E1">
              <w:t> </w:t>
            </w:r>
          </w:p>
        </w:tc>
        <w:tc>
          <w:tcPr>
            <w:tcW w:w="5039" w:type="dxa"/>
            <w:tcBorders>
              <w:top w:val="single" w:sz="6" w:space="0" w:color="auto"/>
              <w:left w:val="single" w:sz="6" w:space="0" w:color="auto"/>
              <w:bottom w:val="single" w:sz="6" w:space="0" w:color="auto"/>
              <w:right w:val="single" w:sz="6" w:space="0" w:color="auto"/>
            </w:tcBorders>
            <w:shd w:val="clear" w:color="auto" w:fill="auto"/>
            <w:hideMark/>
          </w:tcPr>
          <w:p w14:paraId="6F2B8986" w14:textId="77777777" w:rsidR="004312E1" w:rsidRPr="004312E1" w:rsidRDefault="004312E1" w:rsidP="004312E1">
            <w:pPr>
              <w:pStyle w:val="ICHTextOnly"/>
            </w:pPr>
            <w:r w:rsidRPr="004312E1">
              <w:rPr>
                <w:b/>
                <w:bCs/>
              </w:rPr>
              <w:t>5 mg/kg/day</w:t>
            </w:r>
            <w:r w:rsidRPr="004312E1">
              <w:t> </w:t>
            </w:r>
          </w:p>
        </w:tc>
      </w:tr>
      <w:tr w:rsidR="004312E1" w:rsidRPr="004312E1" w14:paraId="3C4DBCDC" w14:textId="77777777" w:rsidTr="002954D1">
        <w:trPr>
          <w:trHeight w:val="300"/>
        </w:trPr>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03D4C0F9" w14:textId="77777777" w:rsidR="004312E1" w:rsidRPr="004312E1" w:rsidRDefault="004312E1" w:rsidP="004312E1">
            <w:pPr>
              <w:pStyle w:val="ICHTextOnly"/>
            </w:pPr>
            <w:r w:rsidRPr="004312E1">
              <w:rPr>
                <w:b/>
                <w:bCs/>
              </w:rPr>
              <w:t>BW</w:t>
            </w:r>
            <w:r w:rsidRPr="004312E1">
              <w:t> </w:t>
            </w:r>
          </w:p>
        </w:tc>
        <w:tc>
          <w:tcPr>
            <w:tcW w:w="5039" w:type="dxa"/>
            <w:tcBorders>
              <w:top w:val="single" w:sz="6" w:space="0" w:color="auto"/>
              <w:left w:val="single" w:sz="6" w:space="0" w:color="auto"/>
              <w:bottom w:val="single" w:sz="6" w:space="0" w:color="auto"/>
              <w:right w:val="single" w:sz="6" w:space="0" w:color="auto"/>
            </w:tcBorders>
            <w:shd w:val="clear" w:color="auto" w:fill="auto"/>
            <w:hideMark/>
          </w:tcPr>
          <w:p w14:paraId="13FBC1FD" w14:textId="77777777" w:rsidR="004312E1" w:rsidRPr="004312E1" w:rsidRDefault="004312E1" w:rsidP="004312E1">
            <w:pPr>
              <w:pStyle w:val="ICHTextOnly"/>
            </w:pPr>
            <w:r w:rsidRPr="004312E1">
              <w:rPr>
                <w:b/>
                <w:bCs/>
              </w:rPr>
              <w:t>50 kg</w:t>
            </w:r>
            <w:r w:rsidRPr="004312E1">
              <w:t> </w:t>
            </w:r>
          </w:p>
        </w:tc>
      </w:tr>
      <w:tr w:rsidR="004312E1" w:rsidRPr="004312E1" w14:paraId="6DBE8E39" w14:textId="77777777" w:rsidTr="002954D1">
        <w:trPr>
          <w:trHeight w:val="300"/>
        </w:trPr>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0D53155F" w14:textId="77777777" w:rsidR="004312E1" w:rsidRPr="004312E1" w:rsidRDefault="004312E1" w:rsidP="004312E1">
            <w:pPr>
              <w:pStyle w:val="ICHTextOnly"/>
            </w:pPr>
            <w:r w:rsidRPr="004312E1">
              <w:rPr>
                <w:b/>
                <w:bCs/>
              </w:rPr>
              <w:t>F1 (mouse)</w:t>
            </w:r>
            <w:r w:rsidRPr="004312E1">
              <w:t> </w:t>
            </w:r>
          </w:p>
        </w:tc>
        <w:tc>
          <w:tcPr>
            <w:tcW w:w="5039" w:type="dxa"/>
            <w:tcBorders>
              <w:top w:val="single" w:sz="6" w:space="0" w:color="auto"/>
              <w:left w:val="single" w:sz="6" w:space="0" w:color="auto"/>
              <w:bottom w:val="single" w:sz="6" w:space="0" w:color="auto"/>
              <w:right w:val="single" w:sz="6" w:space="0" w:color="auto"/>
            </w:tcBorders>
            <w:shd w:val="clear" w:color="auto" w:fill="auto"/>
            <w:hideMark/>
          </w:tcPr>
          <w:p w14:paraId="4767A1FF" w14:textId="77777777" w:rsidR="004312E1" w:rsidRPr="004312E1" w:rsidRDefault="004312E1" w:rsidP="004312E1">
            <w:pPr>
              <w:pStyle w:val="ICHTextOnly"/>
            </w:pPr>
            <w:r w:rsidRPr="004312E1">
              <w:rPr>
                <w:b/>
                <w:bCs/>
              </w:rPr>
              <w:t>12</w:t>
            </w:r>
            <w:r w:rsidRPr="004312E1">
              <w:t> </w:t>
            </w:r>
          </w:p>
        </w:tc>
      </w:tr>
      <w:tr w:rsidR="004312E1" w:rsidRPr="004312E1" w14:paraId="4DF67103" w14:textId="77777777" w:rsidTr="002954D1">
        <w:trPr>
          <w:trHeight w:val="300"/>
        </w:trPr>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426311B3" w14:textId="77777777" w:rsidR="004312E1" w:rsidRPr="004312E1" w:rsidRDefault="004312E1" w:rsidP="004312E1">
            <w:pPr>
              <w:pStyle w:val="ICHTextOnly"/>
            </w:pPr>
            <w:r w:rsidRPr="004312E1">
              <w:rPr>
                <w:b/>
                <w:bCs/>
              </w:rPr>
              <w:t>F2 (intra-species variability)</w:t>
            </w:r>
            <w:r w:rsidRPr="004312E1">
              <w:t> </w:t>
            </w:r>
          </w:p>
        </w:tc>
        <w:tc>
          <w:tcPr>
            <w:tcW w:w="5039" w:type="dxa"/>
            <w:tcBorders>
              <w:top w:val="single" w:sz="6" w:space="0" w:color="auto"/>
              <w:left w:val="single" w:sz="6" w:space="0" w:color="auto"/>
              <w:bottom w:val="single" w:sz="6" w:space="0" w:color="auto"/>
              <w:right w:val="single" w:sz="6" w:space="0" w:color="auto"/>
            </w:tcBorders>
            <w:shd w:val="clear" w:color="auto" w:fill="auto"/>
            <w:hideMark/>
          </w:tcPr>
          <w:p w14:paraId="6DAAD691" w14:textId="77777777" w:rsidR="004312E1" w:rsidRPr="004312E1" w:rsidRDefault="004312E1" w:rsidP="004312E1">
            <w:pPr>
              <w:pStyle w:val="ICHTextOnly"/>
            </w:pPr>
            <w:r w:rsidRPr="004312E1">
              <w:rPr>
                <w:b/>
                <w:bCs/>
              </w:rPr>
              <w:t>10</w:t>
            </w:r>
            <w:r w:rsidRPr="004312E1">
              <w:t> </w:t>
            </w:r>
          </w:p>
        </w:tc>
      </w:tr>
      <w:tr w:rsidR="0085527E" w:rsidRPr="004312E1" w14:paraId="646FE70D" w14:textId="77777777" w:rsidTr="002954D1">
        <w:trPr>
          <w:trHeight w:val="374"/>
        </w:trPr>
        <w:tc>
          <w:tcPr>
            <w:tcW w:w="3976" w:type="dxa"/>
            <w:vMerge w:val="restart"/>
            <w:tcBorders>
              <w:top w:val="single" w:sz="6" w:space="0" w:color="auto"/>
              <w:left w:val="single" w:sz="6" w:space="0" w:color="auto"/>
              <w:right w:val="single" w:sz="6" w:space="0" w:color="auto"/>
            </w:tcBorders>
            <w:shd w:val="clear" w:color="auto" w:fill="auto"/>
            <w:hideMark/>
          </w:tcPr>
          <w:p w14:paraId="025A4F25" w14:textId="4B6D7AE9" w:rsidR="0085527E" w:rsidRPr="004312E1" w:rsidRDefault="0085527E" w:rsidP="0085527E">
            <w:pPr>
              <w:pStyle w:val="ICHTextOnly"/>
            </w:pPr>
            <w:r w:rsidRPr="004312E1">
              <w:rPr>
                <w:b/>
                <w:bCs/>
              </w:rPr>
              <w:t>F3 (</w:t>
            </w:r>
            <w:r w:rsidR="00A61A80" w:rsidRPr="004312E1">
              <w:rPr>
                <w:b/>
                <w:bCs/>
              </w:rPr>
              <w:t>P</w:t>
            </w:r>
            <w:r w:rsidR="00A61A80">
              <w:rPr>
                <w:b/>
                <w:bCs/>
              </w:rPr>
              <w:t>O</w:t>
            </w:r>
            <w:r w:rsidR="00A61A80" w:rsidRPr="004312E1">
              <w:rPr>
                <w:b/>
                <w:bCs/>
              </w:rPr>
              <w:t xml:space="preserve">D </w:t>
            </w:r>
            <w:r w:rsidRPr="004312E1">
              <w:rPr>
                <w:b/>
                <w:bCs/>
              </w:rPr>
              <w:t>study duration: 4 months)</w:t>
            </w:r>
            <w:r w:rsidRPr="004312E1">
              <w:t> </w:t>
            </w:r>
          </w:p>
        </w:tc>
        <w:tc>
          <w:tcPr>
            <w:tcW w:w="5039" w:type="dxa"/>
            <w:tcBorders>
              <w:top w:val="single" w:sz="6" w:space="0" w:color="auto"/>
              <w:left w:val="single" w:sz="6" w:space="0" w:color="auto"/>
              <w:bottom w:val="single" w:sz="6" w:space="0" w:color="auto"/>
              <w:right w:val="single" w:sz="6" w:space="0" w:color="auto"/>
            </w:tcBorders>
            <w:shd w:val="clear" w:color="auto" w:fill="auto"/>
            <w:hideMark/>
          </w:tcPr>
          <w:p w14:paraId="1A204E7E" w14:textId="192D75B5" w:rsidR="0085527E" w:rsidRPr="004312E1" w:rsidRDefault="0085527E" w:rsidP="0085527E">
            <w:pPr>
              <w:pStyle w:val="ICHTextOnly"/>
            </w:pPr>
            <w:r w:rsidRPr="00455A9B">
              <w:rPr>
                <w:b/>
                <w:bCs/>
              </w:rPr>
              <w:t xml:space="preserve">1 for Acute Acceptable Exposure </w:t>
            </w:r>
          </w:p>
        </w:tc>
      </w:tr>
      <w:tr w:rsidR="0085527E" w:rsidRPr="004312E1" w14:paraId="74C9952D" w14:textId="77777777" w:rsidTr="002954D1">
        <w:trPr>
          <w:trHeight w:val="373"/>
        </w:trPr>
        <w:tc>
          <w:tcPr>
            <w:tcW w:w="3976" w:type="dxa"/>
            <w:vMerge/>
            <w:tcBorders>
              <w:left w:val="single" w:sz="6" w:space="0" w:color="auto"/>
              <w:bottom w:val="single" w:sz="6" w:space="0" w:color="auto"/>
              <w:right w:val="single" w:sz="6" w:space="0" w:color="auto"/>
            </w:tcBorders>
            <w:shd w:val="clear" w:color="auto" w:fill="auto"/>
          </w:tcPr>
          <w:p w14:paraId="113A558B" w14:textId="77777777" w:rsidR="0085527E" w:rsidRPr="004312E1" w:rsidRDefault="0085527E" w:rsidP="0085527E">
            <w:pPr>
              <w:pStyle w:val="ICHTextOnly"/>
              <w:rPr>
                <w:b/>
                <w:bCs/>
              </w:rPr>
            </w:pPr>
          </w:p>
        </w:tc>
        <w:tc>
          <w:tcPr>
            <w:tcW w:w="5039" w:type="dxa"/>
            <w:tcBorders>
              <w:top w:val="single" w:sz="6" w:space="0" w:color="auto"/>
              <w:left w:val="single" w:sz="6" w:space="0" w:color="auto"/>
              <w:bottom w:val="single" w:sz="6" w:space="0" w:color="auto"/>
              <w:right w:val="single" w:sz="6" w:space="0" w:color="auto"/>
            </w:tcBorders>
            <w:shd w:val="clear" w:color="auto" w:fill="auto"/>
          </w:tcPr>
          <w:p w14:paraId="05F0751D" w14:textId="2450A9A2" w:rsidR="0085527E" w:rsidRPr="004312E1" w:rsidRDefault="0085527E" w:rsidP="0085527E">
            <w:pPr>
              <w:pStyle w:val="ICHTextOnly"/>
              <w:rPr>
                <w:b/>
                <w:bCs/>
              </w:rPr>
            </w:pPr>
            <w:r w:rsidRPr="00455A9B">
              <w:rPr>
                <w:b/>
                <w:bCs/>
              </w:rPr>
              <w:t xml:space="preserve">5 for Chronic PDE </w:t>
            </w:r>
          </w:p>
        </w:tc>
      </w:tr>
      <w:tr w:rsidR="004312E1" w:rsidRPr="004312E1" w14:paraId="6935487E" w14:textId="77777777" w:rsidTr="002954D1">
        <w:trPr>
          <w:trHeight w:val="300"/>
        </w:trPr>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33FFCF2A" w14:textId="77777777" w:rsidR="004312E1" w:rsidRPr="004312E1" w:rsidRDefault="004312E1" w:rsidP="004312E1">
            <w:pPr>
              <w:pStyle w:val="ICHTextOnly"/>
            </w:pPr>
            <w:r w:rsidRPr="004312E1">
              <w:rPr>
                <w:b/>
                <w:bCs/>
              </w:rPr>
              <w:t>F4 (No severe effects)</w:t>
            </w:r>
            <w:r w:rsidRPr="004312E1">
              <w:t> </w:t>
            </w:r>
          </w:p>
        </w:tc>
        <w:tc>
          <w:tcPr>
            <w:tcW w:w="5039" w:type="dxa"/>
            <w:tcBorders>
              <w:top w:val="single" w:sz="6" w:space="0" w:color="auto"/>
              <w:left w:val="single" w:sz="6" w:space="0" w:color="auto"/>
              <w:bottom w:val="single" w:sz="6" w:space="0" w:color="auto"/>
              <w:right w:val="single" w:sz="6" w:space="0" w:color="auto"/>
            </w:tcBorders>
            <w:shd w:val="clear" w:color="auto" w:fill="auto"/>
            <w:hideMark/>
          </w:tcPr>
          <w:p w14:paraId="77BB583E" w14:textId="77777777" w:rsidR="004312E1" w:rsidRPr="004312E1" w:rsidRDefault="004312E1" w:rsidP="004312E1">
            <w:pPr>
              <w:pStyle w:val="ICHTextOnly"/>
            </w:pPr>
            <w:r w:rsidRPr="004312E1">
              <w:rPr>
                <w:b/>
                <w:bCs/>
              </w:rPr>
              <w:t>1</w:t>
            </w:r>
            <w:r w:rsidRPr="004312E1">
              <w:t> </w:t>
            </w:r>
          </w:p>
        </w:tc>
      </w:tr>
      <w:tr w:rsidR="004312E1" w:rsidRPr="004312E1" w14:paraId="359AF8D9" w14:textId="77777777" w:rsidTr="002954D1">
        <w:trPr>
          <w:trHeight w:val="300"/>
        </w:trPr>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3C2B0149" w14:textId="77777777" w:rsidR="004312E1" w:rsidRPr="004312E1" w:rsidRDefault="004312E1" w:rsidP="004312E1">
            <w:pPr>
              <w:pStyle w:val="ICHTextOnly"/>
            </w:pPr>
            <w:r w:rsidRPr="004312E1">
              <w:rPr>
                <w:b/>
                <w:bCs/>
              </w:rPr>
              <w:t>F5 (NOEL)</w:t>
            </w:r>
            <w:r w:rsidRPr="004312E1">
              <w:t> </w:t>
            </w:r>
          </w:p>
        </w:tc>
        <w:tc>
          <w:tcPr>
            <w:tcW w:w="5039" w:type="dxa"/>
            <w:tcBorders>
              <w:top w:val="single" w:sz="6" w:space="0" w:color="auto"/>
              <w:left w:val="single" w:sz="6" w:space="0" w:color="auto"/>
              <w:bottom w:val="single" w:sz="6" w:space="0" w:color="auto"/>
              <w:right w:val="single" w:sz="6" w:space="0" w:color="auto"/>
            </w:tcBorders>
            <w:shd w:val="clear" w:color="auto" w:fill="auto"/>
            <w:hideMark/>
          </w:tcPr>
          <w:p w14:paraId="58DD1C7E" w14:textId="77777777" w:rsidR="004312E1" w:rsidRPr="004312E1" w:rsidRDefault="004312E1" w:rsidP="004312E1">
            <w:pPr>
              <w:pStyle w:val="ICHTextOnly"/>
            </w:pPr>
            <w:r w:rsidRPr="004312E1">
              <w:rPr>
                <w:b/>
                <w:bCs/>
              </w:rPr>
              <w:t>1 </w:t>
            </w:r>
            <w:r w:rsidRPr="004312E1">
              <w:t> </w:t>
            </w:r>
          </w:p>
        </w:tc>
      </w:tr>
      <w:tr w:rsidR="004312E1" w:rsidRPr="004312E1" w14:paraId="201D784E" w14:textId="77777777" w:rsidTr="002954D1">
        <w:trPr>
          <w:trHeight w:val="300"/>
        </w:trPr>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154965F7" w14:textId="77777777" w:rsidR="004312E1" w:rsidRPr="004312E1" w:rsidRDefault="004312E1" w:rsidP="004312E1">
            <w:pPr>
              <w:pStyle w:val="ICHTextOnly"/>
            </w:pPr>
            <w:r w:rsidRPr="004312E1">
              <w:rPr>
                <w:b/>
                <w:bCs/>
              </w:rPr>
              <w:t>F6 (Mouse oral bioavailability &lt; 1%)</w:t>
            </w:r>
            <w:r w:rsidRPr="004312E1">
              <w:t> </w:t>
            </w:r>
          </w:p>
        </w:tc>
        <w:tc>
          <w:tcPr>
            <w:tcW w:w="5039" w:type="dxa"/>
            <w:tcBorders>
              <w:top w:val="single" w:sz="6" w:space="0" w:color="auto"/>
              <w:left w:val="single" w:sz="6" w:space="0" w:color="auto"/>
              <w:bottom w:val="single" w:sz="6" w:space="0" w:color="auto"/>
              <w:right w:val="single" w:sz="6" w:space="0" w:color="auto"/>
            </w:tcBorders>
            <w:shd w:val="clear" w:color="auto" w:fill="auto"/>
            <w:hideMark/>
          </w:tcPr>
          <w:p w14:paraId="3BD972FF" w14:textId="77777777" w:rsidR="004312E1" w:rsidRPr="004312E1" w:rsidRDefault="004312E1" w:rsidP="004312E1">
            <w:pPr>
              <w:pStyle w:val="ICHTextOnly"/>
            </w:pPr>
            <w:r w:rsidRPr="004312E1">
              <w:rPr>
                <w:b/>
                <w:bCs/>
              </w:rPr>
              <w:t>100</w:t>
            </w:r>
            <w:r w:rsidRPr="004312E1">
              <w:t> </w:t>
            </w:r>
          </w:p>
        </w:tc>
      </w:tr>
      <w:tr w:rsidR="0085527E" w:rsidRPr="004312E1" w14:paraId="3A74D957" w14:textId="77777777" w:rsidTr="0085527E">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tcPr>
          <w:p w14:paraId="3A35BBDD" w14:textId="19EA60C2" w:rsidR="0085527E" w:rsidRPr="004312E1" w:rsidRDefault="0085527E" w:rsidP="0085527E">
            <w:pPr>
              <w:pStyle w:val="ICHTextOnly"/>
              <w:rPr>
                <w:b/>
                <w:bCs/>
              </w:rPr>
            </w:pPr>
            <w:r w:rsidRPr="004312E1">
              <w:rPr>
                <w:b/>
                <w:bCs/>
              </w:rPr>
              <w:t xml:space="preserve">Acute </w:t>
            </w:r>
            <w:r>
              <w:rPr>
                <w:b/>
                <w:bCs/>
              </w:rPr>
              <w:t>Acceptable Exposure</w:t>
            </w:r>
            <w:r w:rsidRPr="004312E1">
              <w:rPr>
                <w:b/>
                <w:bCs/>
              </w:rPr>
              <w:t xml:space="preserve"> = 5 mg/kg/day x 50 kg / (12 x 10 x 1 x 1 x 1 x 100) = </w:t>
            </w:r>
            <w:r w:rsidR="00233706">
              <w:rPr>
                <w:b/>
                <w:bCs/>
              </w:rPr>
              <w:t>0.021</w:t>
            </w:r>
            <w:r w:rsidR="00E10114">
              <w:rPr>
                <w:b/>
                <w:bCs/>
              </w:rPr>
              <w:t xml:space="preserve"> mg x 1</w:t>
            </w:r>
            <w:r w:rsidR="00531B4C">
              <w:rPr>
                <w:b/>
                <w:bCs/>
              </w:rPr>
              <w:t>,</w:t>
            </w:r>
            <w:r w:rsidR="00E10114">
              <w:rPr>
                <w:b/>
                <w:bCs/>
              </w:rPr>
              <w:t xml:space="preserve">000 </w:t>
            </w:r>
            <w:r w:rsidR="00E10114" w:rsidRPr="4E0DF751">
              <w:rPr>
                <w:b/>
                <w:bCs/>
              </w:rPr>
              <w:t>µg</w:t>
            </w:r>
            <w:r w:rsidR="00E10114">
              <w:rPr>
                <w:b/>
                <w:bCs/>
              </w:rPr>
              <w:t xml:space="preserve">/mg = </w:t>
            </w:r>
            <w:r w:rsidRPr="004312E1">
              <w:rPr>
                <w:b/>
                <w:bCs/>
              </w:rPr>
              <w:t>21 µg/day</w:t>
            </w:r>
            <w:r w:rsidRPr="004312E1">
              <w:t> </w:t>
            </w:r>
          </w:p>
        </w:tc>
      </w:tr>
      <w:tr w:rsidR="0085527E" w:rsidRPr="004312E1" w14:paraId="1571C9D6" w14:textId="77777777" w:rsidTr="0085527E">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59D0FBF" w14:textId="686A16DF" w:rsidR="0085527E" w:rsidRPr="004312E1" w:rsidRDefault="0085527E" w:rsidP="0085527E">
            <w:pPr>
              <w:pStyle w:val="ICHTextOnly"/>
            </w:pPr>
            <w:r w:rsidRPr="004312E1">
              <w:rPr>
                <w:b/>
                <w:bCs/>
              </w:rPr>
              <w:t>Chronic PDE = 5 mg/kg/day x 50 kg / (12 x 10 x 5 x 1 x 1 x 100)</w:t>
            </w:r>
            <w:r w:rsidR="00233706" w:rsidRPr="004312E1">
              <w:rPr>
                <w:b/>
                <w:bCs/>
              </w:rPr>
              <w:t xml:space="preserve"> = </w:t>
            </w:r>
            <w:r w:rsidR="00233706">
              <w:rPr>
                <w:b/>
                <w:bCs/>
              </w:rPr>
              <w:t>0.0</w:t>
            </w:r>
            <w:r w:rsidR="00BB4075">
              <w:rPr>
                <w:b/>
                <w:bCs/>
              </w:rPr>
              <w:t>0</w:t>
            </w:r>
            <w:r w:rsidR="00833D5C">
              <w:rPr>
                <w:b/>
                <w:bCs/>
              </w:rPr>
              <w:t>42</w:t>
            </w:r>
            <w:r w:rsidR="00233706">
              <w:rPr>
                <w:b/>
                <w:bCs/>
              </w:rPr>
              <w:t xml:space="preserve"> mg x 1</w:t>
            </w:r>
            <w:r w:rsidR="00531B4C">
              <w:rPr>
                <w:b/>
                <w:bCs/>
              </w:rPr>
              <w:t>,</w:t>
            </w:r>
            <w:r w:rsidR="00233706">
              <w:rPr>
                <w:b/>
                <w:bCs/>
              </w:rPr>
              <w:t xml:space="preserve">000 </w:t>
            </w:r>
            <w:r w:rsidR="00233706" w:rsidRPr="4E0DF751">
              <w:rPr>
                <w:b/>
                <w:bCs/>
              </w:rPr>
              <w:t>µg</w:t>
            </w:r>
            <w:r w:rsidR="00233706">
              <w:rPr>
                <w:b/>
                <w:bCs/>
              </w:rPr>
              <w:t>/</w:t>
            </w:r>
            <w:r w:rsidR="00510BB5">
              <w:rPr>
                <w:b/>
                <w:bCs/>
              </w:rPr>
              <w:t xml:space="preserve">mg </w:t>
            </w:r>
            <w:r w:rsidR="00510BB5" w:rsidRPr="004312E1">
              <w:rPr>
                <w:b/>
                <w:bCs/>
              </w:rPr>
              <w:t>=</w:t>
            </w:r>
            <w:r w:rsidRPr="004312E1">
              <w:rPr>
                <w:b/>
                <w:bCs/>
              </w:rPr>
              <w:t xml:space="preserve"> 4.2 µg/day</w:t>
            </w:r>
            <w:r w:rsidRPr="004312E1">
              <w:t> </w:t>
            </w:r>
          </w:p>
        </w:tc>
      </w:tr>
    </w:tbl>
    <w:p w14:paraId="57BEF6A4" w14:textId="2BFA9592" w:rsidR="00393B9A" w:rsidRPr="001861D0" w:rsidRDefault="004312E1" w:rsidP="001F30BC">
      <w:pPr>
        <w:pStyle w:val="ICHTextOnly"/>
        <w:spacing w:before="240"/>
      </w:pPr>
      <w:r w:rsidRPr="004312E1">
        <w:rPr>
          <w:b/>
          <w:bCs/>
        </w:rPr>
        <w:t>REFERENCES </w:t>
      </w:r>
      <w:r w:rsidRPr="004312E1">
        <w:t> </w:t>
      </w:r>
    </w:p>
    <w:p w14:paraId="195FB8AA" w14:textId="761F010A" w:rsidR="004312E1" w:rsidRDefault="00284226" w:rsidP="004312E1">
      <w:pPr>
        <w:pStyle w:val="ICHTextOnly"/>
      </w:pPr>
      <w:r w:rsidRPr="00284226">
        <w:t xml:space="preserve">Parris P, Martin EA, Stanard B, Glowienke S, Dolan DG, Li K, </w:t>
      </w:r>
      <w:r>
        <w:t>et al</w:t>
      </w:r>
      <w:r w:rsidRPr="00284226">
        <w:t xml:space="preserve">. Considerations when deriving compound-specific limits for extractables and leachables from pharmaceutical products: Four case studies. Regul Toxicol Pharmacol. 2020 </w:t>
      </w:r>
      <w:proofErr w:type="gramStart"/>
      <w:r w:rsidRPr="00284226">
        <w:t>Dec;118:104802</w:t>
      </w:r>
      <w:proofErr w:type="gramEnd"/>
      <w:r w:rsidRPr="00284226">
        <w:t>.</w:t>
      </w:r>
    </w:p>
    <w:p w14:paraId="68E53D0B" w14:textId="77777777" w:rsidR="001A21F8" w:rsidRPr="004312E1" w:rsidRDefault="001A21F8" w:rsidP="004312E1">
      <w:pPr>
        <w:pStyle w:val="ICHTextOnly"/>
      </w:pPr>
    </w:p>
    <w:p w14:paraId="044DC1B1" w14:textId="5286258E" w:rsidR="004312E1" w:rsidRDefault="004312E1" w:rsidP="004312E1">
      <w:pPr>
        <w:pStyle w:val="ICHTextOnly"/>
      </w:pPr>
      <w:r w:rsidRPr="004312E1">
        <w:rPr>
          <w:lang w:val="en-US"/>
        </w:rPr>
        <w:t xml:space="preserve">European Chemicals Agency (ECHA). 4,4'-isopropylidenediphenol. EC number: 201-245-8. CAS number: 80-05-7. Bisphenol A; BPA. </w:t>
      </w:r>
      <w:r w:rsidRPr="00913E48">
        <w:rPr>
          <w:lang w:val="fr-FR"/>
        </w:rPr>
        <w:t xml:space="preserve">Eye irritation. https://echa.europa.eu/registration-dossier/-/registered-dossier/15752/7/4/3. </w:t>
      </w:r>
      <w:r w:rsidRPr="004312E1">
        <w:rPr>
          <w:lang w:val="en-US"/>
        </w:rPr>
        <w:t>Accessed: April 2024. </w:t>
      </w:r>
      <w:r w:rsidRPr="004312E1">
        <w:t> </w:t>
      </w:r>
    </w:p>
    <w:p w14:paraId="21231AA0" w14:textId="77777777" w:rsidR="001A21F8" w:rsidRPr="004312E1" w:rsidRDefault="001A21F8" w:rsidP="004312E1">
      <w:pPr>
        <w:pStyle w:val="ICHTextOnly"/>
      </w:pPr>
    </w:p>
    <w:p w14:paraId="360C66F6" w14:textId="5346EA8A" w:rsidR="004312E1" w:rsidRPr="004312E1" w:rsidRDefault="004312E1" w:rsidP="004312E1">
      <w:pPr>
        <w:pStyle w:val="ICHTextOnly"/>
      </w:pPr>
      <w:r w:rsidRPr="004312E1">
        <w:rPr>
          <w:lang w:val="en-US"/>
        </w:rPr>
        <w:t>German Federal Institute for Risk Assessment (</w:t>
      </w:r>
      <w:proofErr w:type="spellStart"/>
      <w:r w:rsidRPr="004312E1">
        <w:rPr>
          <w:lang w:val="en-US"/>
        </w:rPr>
        <w:t>BfR</w:t>
      </w:r>
      <w:proofErr w:type="spellEnd"/>
      <w:r w:rsidRPr="004312E1">
        <w:rPr>
          <w:lang w:val="en-US"/>
        </w:rPr>
        <w:t>)</w:t>
      </w:r>
      <w:r w:rsidR="005A04C8">
        <w:rPr>
          <w:lang w:val="en-US"/>
        </w:rPr>
        <w:t>, 2023</w:t>
      </w:r>
      <w:r w:rsidRPr="004312E1">
        <w:rPr>
          <w:lang w:val="en-US"/>
        </w:rPr>
        <w:t xml:space="preserve">. Report on diverging views between EFSA and </w:t>
      </w:r>
      <w:proofErr w:type="spellStart"/>
      <w:r w:rsidRPr="004312E1">
        <w:rPr>
          <w:lang w:val="en-US"/>
        </w:rPr>
        <w:t>BfR</w:t>
      </w:r>
      <w:proofErr w:type="spellEnd"/>
      <w:r w:rsidRPr="004312E1">
        <w:rPr>
          <w:lang w:val="en-US"/>
        </w:rPr>
        <w:t xml:space="preserve"> on EFSA updated bisphenol A assessment.</w:t>
      </w:r>
      <w:r w:rsidR="005A04C8">
        <w:rPr>
          <w:lang w:val="en-US"/>
        </w:rPr>
        <w:t xml:space="preserve"> </w:t>
      </w:r>
      <w:r w:rsidR="00901B15" w:rsidRPr="00650DF3">
        <w:rPr>
          <w:lang w:val="en-US"/>
        </w:rPr>
        <w:t>https://www.efsa.europa.eu/sites/default/files/2023-04/bfr-efsa-art-30.pdf</w:t>
      </w:r>
      <w:r w:rsidR="00901B15">
        <w:t>. Accessed April: 2025.</w:t>
      </w:r>
    </w:p>
    <w:p w14:paraId="14D6C609" w14:textId="50EB1FFE" w:rsidR="004312E1" w:rsidRPr="004312E1" w:rsidRDefault="004312E1" w:rsidP="004312E1">
      <w:pPr>
        <w:pStyle w:val="ICHTextOnly"/>
      </w:pPr>
    </w:p>
    <w:p w14:paraId="0E77F282" w14:textId="36FD1657" w:rsidR="004312E1" w:rsidRPr="004312E1" w:rsidRDefault="004312E1" w:rsidP="004312E1">
      <w:pPr>
        <w:pStyle w:val="ICHTextOnly"/>
      </w:pPr>
      <w:r w:rsidRPr="004312E1">
        <w:rPr>
          <w:lang w:val="en-US"/>
        </w:rPr>
        <w:t>European Food Safety Authority (EFSA), European Medicines Agency (EMA)</w:t>
      </w:r>
      <w:r w:rsidR="00176120">
        <w:rPr>
          <w:lang w:val="en-US"/>
        </w:rPr>
        <w:t>, 2023</w:t>
      </w:r>
      <w:r w:rsidRPr="004312E1">
        <w:rPr>
          <w:lang w:val="en-US"/>
        </w:rPr>
        <w:t>. Report on divergent views between EFSA and EMA on EFSA’s updated bisphenol A assessment. </w:t>
      </w:r>
      <w:r w:rsidRPr="004312E1">
        <w:t> </w:t>
      </w:r>
      <w:r w:rsidR="00176120" w:rsidRPr="00650DF3">
        <w:t>https://www.efsa.europa.eu/sites/default/files/2023-04/ema-efsa-article-30.pdf</w:t>
      </w:r>
      <w:r w:rsidR="00176120">
        <w:t>. Accessed April: 2025.</w:t>
      </w:r>
    </w:p>
    <w:p w14:paraId="2A9F1149" w14:textId="55ECF3D2" w:rsidR="004312E1" w:rsidRPr="004312E1" w:rsidRDefault="004312E1" w:rsidP="004312E1">
      <w:pPr>
        <w:pStyle w:val="ICHTextOnly"/>
      </w:pPr>
    </w:p>
    <w:p w14:paraId="0F0CE308" w14:textId="185571C8" w:rsidR="004312E1" w:rsidRDefault="008672D8" w:rsidP="004312E1">
      <w:pPr>
        <w:pStyle w:val="ICHTextOnly"/>
        <w:rPr>
          <w:lang w:val="fr-FR"/>
        </w:rPr>
      </w:pPr>
      <w:proofErr w:type="spellStart"/>
      <w:r w:rsidRPr="008672D8">
        <w:t>Tyl</w:t>
      </w:r>
      <w:proofErr w:type="spellEnd"/>
      <w:r w:rsidRPr="008672D8">
        <w:t xml:space="preserve"> RW, Myers CB, Marr MC, Sloan CS, Castillo NP, </w:t>
      </w:r>
      <w:proofErr w:type="spellStart"/>
      <w:r w:rsidRPr="008672D8">
        <w:t>Veselica</w:t>
      </w:r>
      <w:proofErr w:type="spellEnd"/>
      <w:r w:rsidRPr="008672D8">
        <w:t xml:space="preserve"> MM, </w:t>
      </w:r>
      <w:r w:rsidR="0013051F">
        <w:t>et al</w:t>
      </w:r>
      <w:r w:rsidRPr="008672D8">
        <w:t xml:space="preserve">. Two-generation reproductive toxicity study of dietary bisphenol A in CD-1 (Swiss) mice. </w:t>
      </w:r>
      <w:proofErr w:type="spellStart"/>
      <w:r w:rsidRPr="00C661CF">
        <w:rPr>
          <w:lang w:val="fr-CH"/>
        </w:rPr>
        <w:t>Toxicol</w:t>
      </w:r>
      <w:proofErr w:type="spellEnd"/>
      <w:r w:rsidRPr="00C661CF">
        <w:rPr>
          <w:lang w:val="fr-CH"/>
        </w:rPr>
        <w:t xml:space="preserve"> </w:t>
      </w:r>
      <w:proofErr w:type="spellStart"/>
      <w:r w:rsidRPr="00C661CF">
        <w:rPr>
          <w:lang w:val="fr-CH"/>
        </w:rPr>
        <w:t>Sci</w:t>
      </w:r>
      <w:proofErr w:type="spellEnd"/>
      <w:r w:rsidRPr="00C661CF">
        <w:rPr>
          <w:lang w:val="fr-CH"/>
        </w:rPr>
        <w:t xml:space="preserve">. 2008 </w:t>
      </w:r>
      <w:proofErr w:type="gramStart"/>
      <w:r w:rsidRPr="00C661CF">
        <w:rPr>
          <w:lang w:val="fr-CH"/>
        </w:rPr>
        <w:t>Aug;</w:t>
      </w:r>
      <w:proofErr w:type="gramEnd"/>
      <w:r w:rsidRPr="00C661CF">
        <w:rPr>
          <w:lang w:val="fr-CH"/>
        </w:rPr>
        <w:t>104(2):362-84. </w:t>
      </w:r>
      <w:r w:rsidR="004312E1" w:rsidRPr="00913E48">
        <w:rPr>
          <w:lang w:val="fr-FR"/>
        </w:rPr>
        <w:t> </w:t>
      </w:r>
    </w:p>
    <w:p w14:paraId="7CC36FC5" w14:textId="77777777" w:rsidR="009C7697" w:rsidRPr="00913E48" w:rsidRDefault="009C7697" w:rsidP="004312E1">
      <w:pPr>
        <w:pStyle w:val="ICHTextOnly"/>
        <w:rPr>
          <w:lang w:val="fr-FR"/>
        </w:rPr>
      </w:pPr>
    </w:p>
    <w:p w14:paraId="7C6E530A" w14:textId="1A07F587" w:rsidR="004312E1" w:rsidRPr="00C661CF" w:rsidRDefault="004312E1" w:rsidP="00A27518">
      <w:pPr>
        <w:pStyle w:val="ICHTextOnly"/>
        <w:rPr>
          <w:lang w:val="fr-CH"/>
        </w:rPr>
      </w:pPr>
      <w:r w:rsidRPr="00913E48">
        <w:rPr>
          <w:lang w:val="fr-FR"/>
        </w:rPr>
        <w:t>ANSES, 2013. Évaluation des risques du bisphénol A (BPA) pour la santé humaine. </w:t>
      </w:r>
      <w:r w:rsidR="003962AE" w:rsidRPr="00C661CF">
        <w:rPr>
          <w:lang w:val="fr-CH"/>
        </w:rPr>
        <w:t xml:space="preserve">https://www.anses.fr/fr/system/files/CHIM2009sa0331Ra-0.pdf. </w:t>
      </w:r>
      <w:proofErr w:type="spellStart"/>
      <w:r w:rsidR="003962AE" w:rsidRPr="00C661CF">
        <w:rPr>
          <w:lang w:val="fr-CH"/>
        </w:rPr>
        <w:t>Accessed</w:t>
      </w:r>
      <w:proofErr w:type="spellEnd"/>
      <w:r w:rsidR="003962AE" w:rsidRPr="00C661CF">
        <w:rPr>
          <w:lang w:val="fr-CH"/>
        </w:rPr>
        <w:t xml:space="preserve"> </w:t>
      </w:r>
      <w:proofErr w:type="gramStart"/>
      <w:r w:rsidR="003962AE" w:rsidRPr="00C661CF">
        <w:rPr>
          <w:lang w:val="fr-CH"/>
        </w:rPr>
        <w:t>April:</w:t>
      </w:r>
      <w:proofErr w:type="gramEnd"/>
      <w:r w:rsidR="003962AE" w:rsidRPr="00C661CF">
        <w:rPr>
          <w:lang w:val="fr-CH"/>
        </w:rPr>
        <w:t xml:space="preserve"> 2025.</w:t>
      </w:r>
    </w:p>
    <w:p w14:paraId="2F749C1F" w14:textId="77777777" w:rsidR="004312E1" w:rsidRPr="00C661CF" w:rsidRDefault="004312E1" w:rsidP="004312E1">
      <w:pPr>
        <w:pStyle w:val="ICHTextOnly"/>
        <w:rPr>
          <w:lang w:val="fr-CH"/>
        </w:rPr>
      </w:pPr>
      <w:r w:rsidRPr="00C661CF">
        <w:rPr>
          <w:lang w:val="fr-CH"/>
        </w:rPr>
        <w:t> </w:t>
      </w:r>
    </w:p>
    <w:p w14:paraId="609C34FD" w14:textId="6F984FA4" w:rsidR="007E017C" w:rsidRPr="00C661CF" w:rsidRDefault="007E017C" w:rsidP="00795B23">
      <w:pPr>
        <w:pStyle w:val="ICHTextOnly"/>
        <w:rPr>
          <w:rStyle w:val="Strong"/>
          <w:lang w:val="fr-CH"/>
        </w:rPr>
      </w:pPr>
    </w:p>
    <w:sectPr w:rsidR="007E017C" w:rsidRPr="00C661CF" w:rsidSect="008701B5">
      <w:footerReference w:type="default" r:id="rId56"/>
      <w:footerReference w:type="first" r:id="rId57"/>
      <w:pgSz w:w="11906" w:h="16838"/>
      <w:pgMar w:top="1440" w:right="1440" w:bottom="1440" w:left="1440"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C3D11" w14:textId="77777777" w:rsidR="00400708" w:rsidRDefault="00400708" w:rsidP="0059043D">
      <w:r>
        <w:separator/>
      </w:r>
    </w:p>
  </w:endnote>
  <w:endnote w:type="continuationSeparator" w:id="0">
    <w:p w14:paraId="3EA43492" w14:textId="77777777" w:rsidR="00400708" w:rsidRDefault="00400708" w:rsidP="0059043D">
      <w:r>
        <w:continuationSeparator/>
      </w:r>
    </w:p>
  </w:endnote>
  <w:endnote w:type="continuationNotice" w:id="1">
    <w:p w14:paraId="54F24150" w14:textId="77777777" w:rsidR="00400708" w:rsidRDefault="00400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pt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B722" w14:textId="77777777" w:rsidR="0059043D" w:rsidRPr="001A58B1" w:rsidRDefault="0059043D" w:rsidP="00383F97">
    <w:pPr>
      <w:tabs>
        <w:tab w:val="left" w:pos="3765"/>
      </w:tabs>
      <w:rPr>
        <w:rFonts w:ascii="Times New Roman" w:hAnsi="Times New Roman" w:cs="Times New Roman"/>
        <w:sz w:val="22"/>
        <w:szCs w:val="22"/>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045657"/>
      <w:docPartObj>
        <w:docPartGallery w:val="Page Numbers (Bottom of Page)"/>
        <w:docPartUnique/>
      </w:docPartObj>
    </w:sdtPr>
    <w:sdtEndPr>
      <w:rPr>
        <w:rFonts w:ascii="Times New Roman" w:hAnsi="Times New Roman" w:cs="Times New Roman"/>
        <w:noProof/>
        <w:sz w:val="22"/>
        <w:szCs w:val="22"/>
      </w:rPr>
    </w:sdtEndPr>
    <w:sdtContent>
      <w:p w14:paraId="680454CE" w14:textId="77777777" w:rsidR="00BD3AB9" w:rsidRPr="00BD3AB9" w:rsidRDefault="00BD3AB9">
        <w:pPr>
          <w:pStyle w:val="Footer"/>
          <w:jc w:val="center"/>
          <w:rPr>
            <w:rFonts w:ascii="Times New Roman" w:hAnsi="Times New Roman" w:cs="Times New Roman"/>
            <w:sz w:val="22"/>
            <w:szCs w:val="22"/>
          </w:rPr>
        </w:pPr>
        <w:r w:rsidRPr="00BD3AB9">
          <w:rPr>
            <w:rFonts w:ascii="Times New Roman" w:hAnsi="Times New Roman" w:cs="Times New Roman"/>
            <w:sz w:val="22"/>
            <w:szCs w:val="22"/>
          </w:rPr>
          <w:fldChar w:fldCharType="begin"/>
        </w:r>
        <w:r w:rsidRPr="00BD3AB9">
          <w:rPr>
            <w:rFonts w:ascii="Times New Roman" w:hAnsi="Times New Roman" w:cs="Times New Roman"/>
            <w:sz w:val="22"/>
            <w:szCs w:val="22"/>
          </w:rPr>
          <w:instrText xml:space="preserve"> PAGE   \* MERGEFORMAT </w:instrText>
        </w:r>
        <w:r w:rsidRPr="00BD3AB9">
          <w:rPr>
            <w:rFonts w:ascii="Times New Roman" w:hAnsi="Times New Roman" w:cs="Times New Roman"/>
            <w:sz w:val="22"/>
            <w:szCs w:val="22"/>
          </w:rPr>
          <w:fldChar w:fldCharType="separate"/>
        </w:r>
        <w:r w:rsidR="008701B5">
          <w:rPr>
            <w:rFonts w:ascii="Times New Roman" w:hAnsi="Times New Roman" w:cs="Times New Roman"/>
            <w:noProof/>
            <w:sz w:val="22"/>
            <w:szCs w:val="22"/>
          </w:rPr>
          <w:t>0</w:t>
        </w:r>
        <w:r w:rsidRPr="00BD3AB9">
          <w:rPr>
            <w:rFonts w:ascii="Times New Roman" w:hAnsi="Times New Roman" w:cs="Times New Roman"/>
            <w:noProof/>
            <w:sz w:val="22"/>
            <w:szCs w:val="22"/>
          </w:rPr>
          <w:fldChar w:fldCharType="end"/>
        </w:r>
      </w:p>
    </w:sdtContent>
  </w:sdt>
  <w:p w14:paraId="093653AE" w14:textId="77777777" w:rsidR="00BD3AB9" w:rsidRPr="001A58B1" w:rsidRDefault="00BD3AB9" w:rsidP="00383F97">
    <w:pPr>
      <w:tabs>
        <w:tab w:val="left" w:pos="3765"/>
      </w:tabs>
      <w:rPr>
        <w:rFonts w:ascii="Times New Roman" w:hAnsi="Times New Roman" w:cs="Times New Roman"/>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B939" w14:textId="77777777" w:rsidR="00BD3AB9" w:rsidRPr="00BD3AB9" w:rsidRDefault="00BD3AB9" w:rsidP="00BD3AB9">
    <w:pPr>
      <w:pStyle w:val="Footer"/>
      <w:jc w:val="center"/>
      <w:rPr>
        <w:rFonts w:ascii="Times New Roman" w:hAnsi="Times New Roman" w:cs="Times New Roman"/>
        <w:sz w:val="22"/>
        <w:szCs w:val="22"/>
      </w:rPr>
    </w:pPr>
    <w:r w:rsidRPr="00BD3AB9">
      <w:rPr>
        <w:rFonts w:ascii="Times New Roman" w:hAnsi="Times New Roman" w:cs="Times New Roman"/>
        <w:sz w:val="22"/>
        <w:szCs w:val="22"/>
      </w:rPr>
      <w:t>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111506"/>
      <w:docPartObj>
        <w:docPartGallery w:val="Page Numbers (Bottom of Page)"/>
        <w:docPartUnique/>
      </w:docPartObj>
    </w:sdtPr>
    <w:sdtEndPr>
      <w:rPr>
        <w:rFonts w:ascii="Times New Roman" w:hAnsi="Times New Roman" w:cs="Times New Roman"/>
        <w:noProof/>
        <w:sz w:val="22"/>
        <w:szCs w:val="22"/>
      </w:rPr>
    </w:sdtEndPr>
    <w:sdtContent>
      <w:p w14:paraId="2D359121" w14:textId="77777777" w:rsidR="008701B5" w:rsidRPr="00BD3AB9" w:rsidRDefault="008701B5">
        <w:pPr>
          <w:pStyle w:val="Footer"/>
          <w:jc w:val="center"/>
          <w:rPr>
            <w:rFonts w:ascii="Times New Roman" w:hAnsi="Times New Roman" w:cs="Times New Roman"/>
            <w:sz w:val="22"/>
            <w:szCs w:val="22"/>
          </w:rPr>
        </w:pPr>
        <w:r w:rsidRPr="00BD3AB9">
          <w:rPr>
            <w:rFonts w:ascii="Times New Roman" w:hAnsi="Times New Roman" w:cs="Times New Roman"/>
            <w:sz w:val="22"/>
            <w:szCs w:val="22"/>
          </w:rPr>
          <w:fldChar w:fldCharType="begin"/>
        </w:r>
        <w:r w:rsidRPr="00BD3AB9">
          <w:rPr>
            <w:rFonts w:ascii="Times New Roman" w:hAnsi="Times New Roman" w:cs="Times New Roman"/>
            <w:sz w:val="22"/>
            <w:szCs w:val="22"/>
          </w:rPr>
          <w:instrText xml:space="preserve"> PAGE   \* MERGEFORMAT </w:instrText>
        </w:r>
        <w:r w:rsidRPr="00BD3AB9">
          <w:rPr>
            <w:rFonts w:ascii="Times New Roman" w:hAnsi="Times New Roman" w:cs="Times New Roman"/>
            <w:sz w:val="22"/>
            <w:szCs w:val="22"/>
          </w:rPr>
          <w:fldChar w:fldCharType="separate"/>
        </w:r>
        <w:r w:rsidR="0037778F">
          <w:rPr>
            <w:rFonts w:ascii="Times New Roman" w:hAnsi="Times New Roman" w:cs="Times New Roman"/>
            <w:noProof/>
            <w:sz w:val="22"/>
            <w:szCs w:val="22"/>
          </w:rPr>
          <w:t>1</w:t>
        </w:r>
        <w:r w:rsidRPr="00BD3AB9">
          <w:rPr>
            <w:rFonts w:ascii="Times New Roman" w:hAnsi="Times New Roman" w:cs="Times New Roman"/>
            <w:noProof/>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681114"/>
      <w:docPartObj>
        <w:docPartGallery w:val="Page Numbers (Bottom of Page)"/>
        <w:docPartUnique/>
      </w:docPartObj>
    </w:sdtPr>
    <w:sdtEndPr>
      <w:rPr>
        <w:noProof/>
      </w:rPr>
    </w:sdtEndPr>
    <w:sdtContent>
      <w:p w14:paraId="49DC487F" w14:textId="77777777" w:rsidR="008701B5" w:rsidRDefault="008701B5">
        <w:pPr>
          <w:pStyle w:val="Footer"/>
          <w:jc w:val="center"/>
        </w:pPr>
        <w:r w:rsidRPr="008701B5">
          <w:rPr>
            <w:rFonts w:ascii="Times New Roman" w:hAnsi="Times New Roman" w:cs="Times New Roman"/>
            <w:sz w:val="24"/>
          </w:rPr>
          <w:fldChar w:fldCharType="begin"/>
        </w:r>
        <w:r w:rsidRPr="008701B5">
          <w:rPr>
            <w:rFonts w:ascii="Times New Roman" w:hAnsi="Times New Roman" w:cs="Times New Roman"/>
            <w:sz w:val="24"/>
          </w:rPr>
          <w:instrText xml:space="preserve"> PAGE   \* MERGEFORMAT </w:instrText>
        </w:r>
        <w:r w:rsidRPr="008701B5">
          <w:rPr>
            <w:rFonts w:ascii="Times New Roman" w:hAnsi="Times New Roman" w:cs="Times New Roman"/>
            <w:sz w:val="24"/>
          </w:rPr>
          <w:fldChar w:fldCharType="separate"/>
        </w:r>
        <w:r>
          <w:rPr>
            <w:rFonts w:ascii="Times New Roman" w:hAnsi="Times New Roman" w:cs="Times New Roman"/>
            <w:noProof/>
            <w:sz w:val="24"/>
          </w:rPr>
          <w:t>0</w:t>
        </w:r>
        <w:r w:rsidRPr="008701B5">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E91D1" w14:textId="77777777" w:rsidR="00400708" w:rsidRDefault="00400708" w:rsidP="0059043D">
      <w:r>
        <w:separator/>
      </w:r>
    </w:p>
  </w:footnote>
  <w:footnote w:type="continuationSeparator" w:id="0">
    <w:p w14:paraId="21B2D692" w14:textId="77777777" w:rsidR="00400708" w:rsidRDefault="00400708" w:rsidP="0059043D">
      <w:r>
        <w:continuationSeparator/>
      </w:r>
    </w:p>
  </w:footnote>
  <w:footnote w:type="continuationNotice" w:id="1">
    <w:p w14:paraId="4138764E" w14:textId="77777777" w:rsidR="00400708" w:rsidRDefault="004007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DE17" w14:textId="77777777" w:rsidR="0059043D" w:rsidRPr="00B63B6A" w:rsidRDefault="0059043D" w:rsidP="00BD3AB9">
    <w:pPr>
      <w:jc w:val="center"/>
      <w:rPr>
        <w:rStyle w:val="NoneA"/>
        <w:rFonts w:ascii="Times New Roman" w:hAnsi="Times New Roman" w:cs="Times New Roman"/>
        <w:kern w:val="0"/>
        <w:sz w:val="24"/>
        <w:szCs w:val="24"/>
      </w:rPr>
    </w:pPr>
    <w:r w:rsidRPr="00B63B6A">
      <w:rPr>
        <w:rFonts w:ascii="Times New Roman" w:hAnsi="Times New Roman" w:cs="Times New Roman"/>
        <w:noProof/>
        <w:sz w:val="24"/>
        <w:szCs w:val="24"/>
        <w:lang w:val="fr-CH" w:eastAsia="fr-CH"/>
      </w:rPr>
      <w:drawing>
        <wp:anchor distT="152400" distB="152400" distL="152400" distR="152400" simplePos="0" relativeHeight="251658240" behindDoc="1" locked="0" layoutInCell="1" allowOverlap="1" wp14:anchorId="6F54615B" wp14:editId="1327DCD1">
          <wp:simplePos x="0" y="0"/>
          <wp:positionH relativeFrom="page">
            <wp:posOffset>-19388557</wp:posOffset>
          </wp:positionH>
          <wp:positionV relativeFrom="page">
            <wp:posOffset>-7982707</wp:posOffset>
          </wp:positionV>
          <wp:extent cx="612777" cy="671831"/>
          <wp:effectExtent l="0" t="0" r="0" b="0"/>
          <wp:wrapNone/>
          <wp:docPr id="142099917"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srcRect l="78467" t="41695" r="11861" b="44999"/>
                  <a:stretch>
                    <a:fillRect/>
                  </a:stretch>
                </pic:blipFill>
                <pic:spPr>
                  <a:xfrm>
                    <a:off x="0" y="0"/>
                    <a:ext cx="612777" cy="671831"/>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8677" w14:textId="77777777" w:rsidR="0059043D" w:rsidRDefault="0059043D">
    <w:pPr>
      <w:pStyle w:val="Header"/>
    </w:pPr>
    <w:r>
      <w:rPr>
        <w:noProof/>
        <w:lang w:val="fr-CH" w:eastAsia="fr-CH"/>
      </w:rPr>
      <w:drawing>
        <wp:anchor distT="0" distB="0" distL="114300" distR="114300" simplePos="0" relativeHeight="251658241" behindDoc="0" locked="0" layoutInCell="1" allowOverlap="1" wp14:anchorId="7B4F0208" wp14:editId="210DF162">
          <wp:simplePos x="0" y="0"/>
          <wp:positionH relativeFrom="column">
            <wp:posOffset>-807522</wp:posOffset>
          </wp:positionH>
          <wp:positionV relativeFrom="paragraph">
            <wp:posOffset>-238141</wp:posOffset>
          </wp:positionV>
          <wp:extent cx="2584450" cy="872490"/>
          <wp:effectExtent l="0" t="0" r="6350" b="3810"/>
          <wp:wrapNone/>
          <wp:docPr id="682261894" name="Picture 682261894" descr="F:\ICH\ADMINISTRATION\ICH logo\2. ICH_logo_slogan_high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DMINISTRATION\ICH logo\2. ICH_logo_slogan_high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872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9469" w14:textId="796B50CA" w:rsidR="00BD3AB9" w:rsidRPr="00B63B6A" w:rsidRDefault="00BD3AB9" w:rsidP="00BD3AB9">
    <w:pPr>
      <w:jc w:val="center"/>
      <w:rPr>
        <w:rStyle w:val="NoneA"/>
        <w:rFonts w:ascii="Times New Roman" w:hAnsi="Times New Roman" w:cs="Times New Roman"/>
        <w:kern w:val="0"/>
        <w:sz w:val="24"/>
        <w:szCs w:val="24"/>
      </w:rPr>
    </w:pPr>
    <w:r w:rsidRPr="00B63B6A">
      <w:rPr>
        <w:rFonts w:ascii="Times New Roman" w:hAnsi="Times New Roman" w:cs="Times New Roman"/>
        <w:noProof/>
        <w:sz w:val="24"/>
        <w:szCs w:val="24"/>
        <w:lang w:val="fr-CH" w:eastAsia="fr-CH"/>
      </w:rPr>
      <w:drawing>
        <wp:anchor distT="152400" distB="152400" distL="152400" distR="152400" simplePos="0" relativeHeight="251658243" behindDoc="1" locked="0" layoutInCell="1" allowOverlap="1" wp14:anchorId="4A6C0891" wp14:editId="2D917818">
          <wp:simplePos x="0" y="0"/>
          <wp:positionH relativeFrom="page">
            <wp:posOffset>-19388557</wp:posOffset>
          </wp:positionH>
          <wp:positionV relativeFrom="page">
            <wp:posOffset>-7982707</wp:posOffset>
          </wp:positionV>
          <wp:extent cx="612777" cy="671831"/>
          <wp:effectExtent l="0" t="0" r="0" b="0"/>
          <wp:wrapNone/>
          <wp:docPr id="175288293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srcRect l="78467" t="41695" r="11861" b="44999"/>
                  <a:stretch>
                    <a:fillRect/>
                  </a:stretch>
                </pic:blipFill>
                <pic:spPr>
                  <a:xfrm>
                    <a:off x="0" y="0"/>
                    <a:ext cx="612777" cy="671831"/>
                  </a:xfrm>
                  <a:prstGeom prst="rect">
                    <a:avLst/>
                  </a:prstGeom>
                  <a:ln w="12700" cap="flat">
                    <a:noFill/>
                    <a:miter lim="400000"/>
                  </a:ln>
                  <a:effectLst/>
                </pic:spPr>
              </pic:pic>
            </a:graphicData>
          </a:graphic>
        </wp:anchor>
      </w:drawing>
    </w:r>
    <w:r>
      <w:rPr>
        <w:rStyle w:val="NoneA"/>
        <w:rFonts w:ascii="Times New Roman" w:hAnsi="Times New Roman" w:cs="Times New Roman"/>
        <w:kern w:val="0"/>
        <w:sz w:val="24"/>
        <w:szCs w:val="24"/>
      </w:rPr>
      <w:t xml:space="preserve">ICH </w:t>
    </w:r>
    <w:r w:rsidR="004402D0">
      <w:rPr>
        <w:rStyle w:val="NoneA"/>
        <w:rFonts w:ascii="Times New Roman" w:hAnsi="Times New Roman" w:cs="Times New Roman"/>
        <w:kern w:val="0"/>
        <w:sz w:val="24"/>
        <w:szCs w:val="24"/>
      </w:rPr>
      <w:t>Q3E</w:t>
    </w:r>
    <w:r>
      <w:rPr>
        <w:rStyle w:val="NoneA"/>
        <w:rFonts w:ascii="Times New Roman" w:hAnsi="Times New Roman" w:cs="Times New Roman"/>
        <w:kern w:val="0"/>
        <w:sz w:val="24"/>
        <w:szCs w:val="24"/>
      </w:rPr>
      <w:t xml:space="preserve"> Guideline</w:t>
    </w:r>
  </w:p>
  <w:p w14:paraId="78BA32DE" w14:textId="77777777" w:rsidR="00BD3AB9" w:rsidRPr="00B63B6A" w:rsidRDefault="00BD3AB9" w:rsidP="00BD3AB9">
    <w:pPr>
      <w:jc w:val="center"/>
      <w:rPr>
        <w:rStyle w:val="NoneA"/>
        <w:rFonts w:ascii="Times New Roman" w:hAnsi="Times New Roman" w:cs="Times New Roman"/>
        <w:kern w:val="0"/>
        <w:sz w:val="24"/>
        <w:szCs w:val="24"/>
      </w:rPr>
    </w:pPr>
    <w:r w:rsidRPr="00B63B6A">
      <w:rPr>
        <w:rFonts w:ascii="Times New Roman" w:hAnsi="Times New Roman" w:cs="Times New Roman"/>
        <w:noProof/>
        <w:sz w:val="24"/>
        <w:szCs w:val="24"/>
        <w:lang w:val="fr-CH" w:eastAsia="fr-CH"/>
      </w:rPr>
      <w:drawing>
        <wp:anchor distT="152400" distB="152400" distL="152400" distR="152400" simplePos="0" relativeHeight="251658242" behindDoc="1" locked="0" layoutInCell="1" allowOverlap="1" wp14:anchorId="163E5CF8" wp14:editId="71814E36">
          <wp:simplePos x="0" y="0"/>
          <wp:positionH relativeFrom="page">
            <wp:posOffset>-19388557</wp:posOffset>
          </wp:positionH>
          <wp:positionV relativeFrom="page">
            <wp:posOffset>-7982707</wp:posOffset>
          </wp:positionV>
          <wp:extent cx="612777" cy="671831"/>
          <wp:effectExtent l="0" t="0" r="0" b="0"/>
          <wp:wrapNone/>
          <wp:docPr id="108334022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srcRect l="78467" t="41695" r="11861" b="44999"/>
                  <a:stretch>
                    <a:fillRect/>
                  </a:stretch>
                </pic:blipFill>
                <pic:spPr>
                  <a:xfrm>
                    <a:off x="0" y="0"/>
                    <a:ext cx="612777" cy="671831"/>
                  </a:xfrm>
                  <a:prstGeom prst="rect">
                    <a:avLst/>
                  </a:prstGeom>
                  <a:ln w="12700" cap="flat">
                    <a:noFill/>
                    <a:miter lim="400000"/>
                  </a:ln>
                  <a:effec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E625" w14:textId="3005384F" w:rsidR="0059043D" w:rsidRPr="00C05618" w:rsidRDefault="00C05618" w:rsidP="00C05618">
    <w:pPr>
      <w:pStyle w:val="Header"/>
      <w:jc w:val="center"/>
      <w:rPr>
        <w:rFonts w:ascii="Times New Roman" w:hAnsi="Times New Roman" w:cs="Times New Roman"/>
        <w:lang w:val="fr-CH"/>
      </w:rPr>
    </w:pPr>
    <w:r w:rsidRPr="00C05618">
      <w:rPr>
        <w:rFonts w:ascii="Times New Roman" w:hAnsi="Times New Roman" w:cs="Times New Roman"/>
        <w:lang w:val="fr-CH"/>
      </w:rPr>
      <w:t>ICH Q3E Guideline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3A33"/>
    <w:multiLevelType w:val="hybridMultilevel"/>
    <w:tmpl w:val="9D9866D8"/>
    <w:lvl w:ilvl="0" w:tplc="04090001">
      <w:start w:val="1"/>
      <w:numFmt w:val="bullet"/>
      <w:lvlText w:val=""/>
      <w:lvlJc w:val="left"/>
      <w:pPr>
        <w:ind w:left="720" w:hanging="360"/>
      </w:pPr>
      <w:rPr>
        <w:rFonts w:ascii="Symbol" w:hAnsi="Symbol" w:hint="default"/>
      </w:rPr>
    </w:lvl>
    <w:lvl w:ilvl="1" w:tplc="CE621826">
      <w:numFmt w:val="bullet"/>
      <w:lvlText w:val="•"/>
      <w:lvlJc w:val="left"/>
      <w:pPr>
        <w:ind w:left="1800" w:hanging="720"/>
      </w:pPr>
      <w:rPr>
        <w:rFonts w:ascii="Times New Roman" w:eastAsia="Century"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032974"/>
    <w:multiLevelType w:val="hybridMultilevel"/>
    <w:tmpl w:val="EC80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0349C"/>
    <w:multiLevelType w:val="hybridMultilevel"/>
    <w:tmpl w:val="D0A87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248"/>
    <w:multiLevelType w:val="hybridMultilevel"/>
    <w:tmpl w:val="67EA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9856BA"/>
    <w:multiLevelType w:val="hybridMultilevel"/>
    <w:tmpl w:val="810E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44FF6"/>
    <w:multiLevelType w:val="hybridMultilevel"/>
    <w:tmpl w:val="B19AEA9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C3E31"/>
    <w:multiLevelType w:val="hybridMultilevel"/>
    <w:tmpl w:val="3E14E9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1D2AA0"/>
    <w:multiLevelType w:val="hybridMultilevel"/>
    <w:tmpl w:val="FA0682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3346F1"/>
    <w:multiLevelType w:val="hybridMultilevel"/>
    <w:tmpl w:val="9768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34C47"/>
    <w:multiLevelType w:val="hybridMultilevel"/>
    <w:tmpl w:val="107E380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414B9"/>
    <w:multiLevelType w:val="hybridMultilevel"/>
    <w:tmpl w:val="2434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4075AC"/>
    <w:multiLevelType w:val="hybridMultilevel"/>
    <w:tmpl w:val="600E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9618EF"/>
    <w:multiLevelType w:val="hybridMultilevel"/>
    <w:tmpl w:val="CAD6F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A957D4"/>
    <w:multiLevelType w:val="hybridMultilevel"/>
    <w:tmpl w:val="6D9A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A84E16"/>
    <w:multiLevelType w:val="hybridMultilevel"/>
    <w:tmpl w:val="D9286AB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D66EF9"/>
    <w:multiLevelType w:val="hybridMultilevel"/>
    <w:tmpl w:val="07AA77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FCC3F3A"/>
    <w:multiLevelType w:val="hybridMultilevel"/>
    <w:tmpl w:val="BB24D36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CD4E31"/>
    <w:multiLevelType w:val="multilevel"/>
    <w:tmpl w:val="AD925948"/>
    <w:lvl w:ilvl="0">
      <w:start w:val="1"/>
      <w:numFmt w:val="decimal"/>
      <w:pStyle w:val="Heading1"/>
      <w:lvlText w:val="%1."/>
      <w:lvlJc w:val="left"/>
      <w:pPr>
        <w:ind w:left="360" w:hanging="360"/>
      </w:p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2A62759"/>
    <w:multiLevelType w:val="hybridMultilevel"/>
    <w:tmpl w:val="871E20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6"/>
  </w:num>
  <w:num w:numId="3">
    <w:abstractNumId w:val="2"/>
  </w:num>
  <w:num w:numId="4">
    <w:abstractNumId w:val="13"/>
  </w:num>
  <w:num w:numId="5">
    <w:abstractNumId w:val="10"/>
  </w:num>
  <w:num w:numId="6">
    <w:abstractNumId w:val="8"/>
  </w:num>
  <w:num w:numId="7">
    <w:abstractNumId w:val="3"/>
  </w:num>
  <w:num w:numId="8">
    <w:abstractNumId w:val="11"/>
  </w:num>
  <w:num w:numId="9">
    <w:abstractNumId w:val="1"/>
  </w:num>
  <w:num w:numId="10">
    <w:abstractNumId w:val="12"/>
  </w:num>
  <w:num w:numId="11">
    <w:abstractNumId w:val="14"/>
  </w:num>
  <w:num w:numId="12">
    <w:abstractNumId w:val="5"/>
  </w:num>
  <w:num w:numId="13">
    <w:abstractNumId w:val="9"/>
  </w:num>
  <w:num w:numId="14">
    <w:abstractNumId w:val="16"/>
  </w:num>
  <w:num w:numId="15">
    <w:abstractNumId w:val="15"/>
  </w:num>
  <w:num w:numId="16">
    <w:abstractNumId w:val="0"/>
  </w:num>
  <w:num w:numId="17">
    <w:abstractNumId w:val="4"/>
  </w:num>
  <w:num w:numId="18">
    <w:abstractNumId w:val="7"/>
  </w:num>
  <w:num w:numId="19">
    <w:abstractNumId w:val="18"/>
  </w:num>
  <w:num w:numId="2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720"/>
  <w:hyphenationZone w:val="425"/>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43D"/>
    <w:rsid w:val="000000AA"/>
    <w:rsid w:val="00000524"/>
    <w:rsid w:val="00001011"/>
    <w:rsid w:val="00002266"/>
    <w:rsid w:val="000022C4"/>
    <w:rsid w:val="00002985"/>
    <w:rsid w:val="00002B63"/>
    <w:rsid w:val="00002F0E"/>
    <w:rsid w:val="00002F19"/>
    <w:rsid w:val="00004242"/>
    <w:rsid w:val="00004F6C"/>
    <w:rsid w:val="0000511C"/>
    <w:rsid w:val="000057ED"/>
    <w:rsid w:val="00005DF9"/>
    <w:rsid w:val="00006082"/>
    <w:rsid w:val="00006905"/>
    <w:rsid w:val="00006CA9"/>
    <w:rsid w:val="00006DE2"/>
    <w:rsid w:val="00006EB3"/>
    <w:rsid w:val="00006F2C"/>
    <w:rsid w:val="000071AD"/>
    <w:rsid w:val="0000720A"/>
    <w:rsid w:val="0000768B"/>
    <w:rsid w:val="000077C8"/>
    <w:rsid w:val="000078F3"/>
    <w:rsid w:val="0000799D"/>
    <w:rsid w:val="0001067E"/>
    <w:rsid w:val="00010CE6"/>
    <w:rsid w:val="00011278"/>
    <w:rsid w:val="00011772"/>
    <w:rsid w:val="00011815"/>
    <w:rsid w:val="0001210F"/>
    <w:rsid w:val="0001235C"/>
    <w:rsid w:val="000128E3"/>
    <w:rsid w:val="00012BFA"/>
    <w:rsid w:val="00012DDD"/>
    <w:rsid w:val="00013C1C"/>
    <w:rsid w:val="000140C4"/>
    <w:rsid w:val="00014CEC"/>
    <w:rsid w:val="0001516F"/>
    <w:rsid w:val="000151A8"/>
    <w:rsid w:val="00015B49"/>
    <w:rsid w:val="00015C5D"/>
    <w:rsid w:val="000163AB"/>
    <w:rsid w:val="000165E8"/>
    <w:rsid w:val="000167EA"/>
    <w:rsid w:val="00016C9A"/>
    <w:rsid w:val="00016DB0"/>
    <w:rsid w:val="000172C4"/>
    <w:rsid w:val="00020085"/>
    <w:rsid w:val="0002064B"/>
    <w:rsid w:val="0002077D"/>
    <w:rsid w:val="00020CD6"/>
    <w:rsid w:val="000214CE"/>
    <w:rsid w:val="00022809"/>
    <w:rsid w:val="00022CC5"/>
    <w:rsid w:val="00022DAC"/>
    <w:rsid w:val="00022EF7"/>
    <w:rsid w:val="000239FC"/>
    <w:rsid w:val="000242CC"/>
    <w:rsid w:val="0002581E"/>
    <w:rsid w:val="00025C07"/>
    <w:rsid w:val="00025E27"/>
    <w:rsid w:val="0002613A"/>
    <w:rsid w:val="000266F9"/>
    <w:rsid w:val="000269CC"/>
    <w:rsid w:val="00026C9E"/>
    <w:rsid w:val="0002778C"/>
    <w:rsid w:val="000278E1"/>
    <w:rsid w:val="00027F38"/>
    <w:rsid w:val="0003020F"/>
    <w:rsid w:val="00030926"/>
    <w:rsid w:val="00030BDC"/>
    <w:rsid w:val="000311B0"/>
    <w:rsid w:val="00031AF3"/>
    <w:rsid w:val="00031BA0"/>
    <w:rsid w:val="000324ED"/>
    <w:rsid w:val="000327D3"/>
    <w:rsid w:val="00033173"/>
    <w:rsid w:val="00033798"/>
    <w:rsid w:val="00033F64"/>
    <w:rsid w:val="000341AD"/>
    <w:rsid w:val="0003489E"/>
    <w:rsid w:val="000349C9"/>
    <w:rsid w:val="00034D17"/>
    <w:rsid w:val="00034E6D"/>
    <w:rsid w:val="000355F5"/>
    <w:rsid w:val="000361C3"/>
    <w:rsid w:val="000367DE"/>
    <w:rsid w:val="00036B77"/>
    <w:rsid w:val="00037392"/>
    <w:rsid w:val="00037539"/>
    <w:rsid w:val="0003765C"/>
    <w:rsid w:val="000379A2"/>
    <w:rsid w:val="00037A30"/>
    <w:rsid w:val="00037DD3"/>
    <w:rsid w:val="00037DD7"/>
    <w:rsid w:val="000402E9"/>
    <w:rsid w:val="00040683"/>
    <w:rsid w:val="00040945"/>
    <w:rsid w:val="00040E45"/>
    <w:rsid w:val="000412AA"/>
    <w:rsid w:val="000414D7"/>
    <w:rsid w:val="00041777"/>
    <w:rsid w:val="00041973"/>
    <w:rsid w:val="00041C48"/>
    <w:rsid w:val="00041E71"/>
    <w:rsid w:val="000422A4"/>
    <w:rsid w:val="0004347F"/>
    <w:rsid w:val="000435D5"/>
    <w:rsid w:val="00043901"/>
    <w:rsid w:val="00043959"/>
    <w:rsid w:val="00043985"/>
    <w:rsid w:val="00044453"/>
    <w:rsid w:val="0004445B"/>
    <w:rsid w:val="00044755"/>
    <w:rsid w:val="00045194"/>
    <w:rsid w:val="000453D0"/>
    <w:rsid w:val="000456D0"/>
    <w:rsid w:val="00046556"/>
    <w:rsid w:val="00046DE0"/>
    <w:rsid w:val="0004770E"/>
    <w:rsid w:val="00047959"/>
    <w:rsid w:val="00047E0F"/>
    <w:rsid w:val="000504FE"/>
    <w:rsid w:val="000513EB"/>
    <w:rsid w:val="000514B9"/>
    <w:rsid w:val="000529C7"/>
    <w:rsid w:val="00052CC1"/>
    <w:rsid w:val="00052F2A"/>
    <w:rsid w:val="0005398C"/>
    <w:rsid w:val="00053BE3"/>
    <w:rsid w:val="0005428F"/>
    <w:rsid w:val="00054327"/>
    <w:rsid w:val="00054467"/>
    <w:rsid w:val="00056816"/>
    <w:rsid w:val="00056DB2"/>
    <w:rsid w:val="00056DC8"/>
    <w:rsid w:val="00057330"/>
    <w:rsid w:val="000573DC"/>
    <w:rsid w:val="0005749C"/>
    <w:rsid w:val="000575F2"/>
    <w:rsid w:val="000604BD"/>
    <w:rsid w:val="00060CF6"/>
    <w:rsid w:val="00060ECF"/>
    <w:rsid w:val="000612D1"/>
    <w:rsid w:val="00061701"/>
    <w:rsid w:val="0006185D"/>
    <w:rsid w:val="00062549"/>
    <w:rsid w:val="00062621"/>
    <w:rsid w:val="000627E4"/>
    <w:rsid w:val="000629F7"/>
    <w:rsid w:val="00062A99"/>
    <w:rsid w:val="00062EE0"/>
    <w:rsid w:val="00063982"/>
    <w:rsid w:val="00063C18"/>
    <w:rsid w:val="00063C6E"/>
    <w:rsid w:val="00063E7F"/>
    <w:rsid w:val="0006480A"/>
    <w:rsid w:val="00064FA9"/>
    <w:rsid w:val="000651C3"/>
    <w:rsid w:val="0006530E"/>
    <w:rsid w:val="000663B9"/>
    <w:rsid w:val="00066583"/>
    <w:rsid w:val="00066596"/>
    <w:rsid w:val="0006731E"/>
    <w:rsid w:val="00067779"/>
    <w:rsid w:val="00070459"/>
    <w:rsid w:val="00070B1B"/>
    <w:rsid w:val="000728D7"/>
    <w:rsid w:val="00072D35"/>
    <w:rsid w:val="0007316A"/>
    <w:rsid w:val="00073364"/>
    <w:rsid w:val="0007399A"/>
    <w:rsid w:val="00073C60"/>
    <w:rsid w:val="0007441E"/>
    <w:rsid w:val="0007500F"/>
    <w:rsid w:val="000753E9"/>
    <w:rsid w:val="000754D8"/>
    <w:rsid w:val="00075C95"/>
    <w:rsid w:val="00075EB9"/>
    <w:rsid w:val="0007617F"/>
    <w:rsid w:val="000762AB"/>
    <w:rsid w:val="00077578"/>
    <w:rsid w:val="000802C2"/>
    <w:rsid w:val="000808BC"/>
    <w:rsid w:val="00080B26"/>
    <w:rsid w:val="00080B6D"/>
    <w:rsid w:val="00081171"/>
    <w:rsid w:val="00081774"/>
    <w:rsid w:val="00081DA4"/>
    <w:rsid w:val="0008259B"/>
    <w:rsid w:val="000829CA"/>
    <w:rsid w:val="00082D28"/>
    <w:rsid w:val="0008383D"/>
    <w:rsid w:val="0008398C"/>
    <w:rsid w:val="00084C30"/>
    <w:rsid w:val="00084F1C"/>
    <w:rsid w:val="000854BF"/>
    <w:rsid w:val="000857FA"/>
    <w:rsid w:val="00085FD7"/>
    <w:rsid w:val="00086385"/>
    <w:rsid w:val="00086629"/>
    <w:rsid w:val="00086F3D"/>
    <w:rsid w:val="000871D8"/>
    <w:rsid w:val="00087562"/>
    <w:rsid w:val="00087B28"/>
    <w:rsid w:val="00087D68"/>
    <w:rsid w:val="00087EEF"/>
    <w:rsid w:val="00090217"/>
    <w:rsid w:val="0009027D"/>
    <w:rsid w:val="00090414"/>
    <w:rsid w:val="00090BC7"/>
    <w:rsid w:val="000910D0"/>
    <w:rsid w:val="00091458"/>
    <w:rsid w:val="00091720"/>
    <w:rsid w:val="00092B12"/>
    <w:rsid w:val="00093148"/>
    <w:rsid w:val="000935DC"/>
    <w:rsid w:val="000939BF"/>
    <w:rsid w:val="0009416D"/>
    <w:rsid w:val="00094464"/>
    <w:rsid w:val="00094633"/>
    <w:rsid w:val="00094A5F"/>
    <w:rsid w:val="00095075"/>
    <w:rsid w:val="000950D9"/>
    <w:rsid w:val="000955DA"/>
    <w:rsid w:val="00095A8B"/>
    <w:rsid w:val="00096077"/>
    <w:rsid w:val="00096127"/>
    <w:rsid w:val="00096416"/>
    <w:rsid w:val="00096687"/>
    <w:rsid w:val="000971A9"/>
    <w:rsid w:val="0009760B"/>
    <w:rsid w:val="00097A0C"/>
    <w:rsid w:val="00097C66"/>
    <w:rsid w:val="00097D59"/>
    <w:rsid w:val="00097DED"/>
    <w:rsid w:val="000A019D"/>
    <w:rsid w:val="000A02FC"/>
    <w:rsid w:val="000A0F55"/>
    <w:rsid w:val="000A142A"/>
    <w:rsid w:val="000A16E8"/>
    <w:rsid w:val="000A19B8"/>
    <w:rsid w:val="000A1B18"/>
    <w:rsid w:val="000A1E9A"/>
    <w:rsid w:val="000A20C7"/>
    <w:rsid w:val="000A23E4"/>
    <w:rsid w:val="000A2848"/>
    <w:rsid w:val="000A2B62"/>
    <w:rsid w:val="000A33BD"/>
    <w:rsid w:val="000A33E5"/>
    <w:rsid w:val="000A3688"/>
    <w:rsid w:val="000A36A5"/>
    <w:rsid w:val="000A3911"/>
    <w:rsid w:val="000A3941"/>
    <w:rsid w:val="000A3AC3"/>
    <w:rsid w:val="000A3B73"/>
    <w:rsid w:val="000A3BA3"/>
    <w:rsid w:val="000A3CCB"/>
    <w:rsid w:val="000A44D7"/>
    <w:rsid w:val="000A4F3D"/>
    <w:rsid w:val="000A51BD"/>
    <w:rsid w:val="000A6CBB"/>
    <w:rsid w:val="000A6F23"/>
    <w:rsid w:val="000A716B"/>
    <w:rsid w:val="000A7678"/>
    <w:rsid w:val="000A7940"/>
    <w:rsid w:val="000B01C5"/>
    <w:rsid w:val="000B01F1"/>
    <w:rsid w:val="000B0BB1"/>
    <w:rsid w:val="000B0CB2"/>
    <w:rsid w:val="000B0DDC"/>
    <w:rsid w:val="000B0EE0"/>
    <w:rsid w:val="000B1B20"/>
    <w:rsid w:val="000B1BBC"/>
    <w:rsid w:val="000B23C0"/>
    <w:rsid w:val="000B3097"/>
    <w:rsid w:val="000B33ED"/>
    <w:rsid w:val="000B3685"/>
    <w:rsid w:val="000B3B1A"/>
    <w:rsid w:val="000B43B7"/>
    <w:rsid w:val="000B5397"/>
    <w:rsid w:val="000B53BC"/>
    <w:rsid w:val="000B5734"/>
    <w:rsid w:val="000B5D60"/>
    <w:rsid w:val="000B5F2A"/>
    <w:rsid w:val="000B6385"/>
    <w:rsid w:val="000B68EF"/>
    <w:rsid w:val="000B6D7B"/>
    <w:rsid w:val="000B7667"/>
    <w:rsid w:val="000B7973"/>
    <w:rsid w:val="000B7FC0"/>
    <w:rsid w:val="000C0211"/>
    <w:rsid w:val="000C05FE"/>
    <w:rsid w:val="000C10DC"/>
    <w:rsid w:val="000C29FD"/>
    <w:rsid w:val="000C2C47"/>
    <w:rsid w:val="000C2F14"/>
    <w:rsid w:val="000C30FC"/>
    <w:rsid w:val="000C3122"/>
    <w:rsid w:val="000C3AA9"/>
    <w:rsid w:val="000C4600"/>
    <w:rsid w:val="000C56FF"/>
    <w:rsid w:val="000C5D53"/>
    <w:rsid w:val="000C61AF"/>
    <w:rsid w:val="000C6903"/>
    <w:rsid w:val="000C6E93"/>
    <w:rsid w:val="000C711B"/>
    <w:rsid w:val="000C7322"/>
    <w:rsid w:val="000C73BF"/>
    <w:rsid w:val="000C7ECB"/>
    <w:rsid w:val="000D035D"/>
    <w:rsid w:val="000D0483"/>
    <w:rsid w:val="000D0ABE"/>
    <w:rsid w:val="000D0FD9"/>
    <w:rsid w:val="000D1D18"/>
    <w:rsid w:val="000D246E"/>
    <w:rsid w:val="000D276A"/>
    <w:rsid w:val="000D3012"/>
    <w:rsid w:val="000D375E"/>
    <w:rsid w:val="000D3855"/>
    <w:rsid w:val="000D4553"/>
    <w:rsid w:val="000D4D4C"/>
    <w:rsid w:val="000D4F8E"/>
    <w:rsid w:val="000D53A8"/>
    <w:rsid w:val="000D5452"/>
    <w:rsid w:val="000D5498"/>
    <w:rsid w:val="000D56CD"/>
    <w:rsid w:val="000D57E5"/>
    <w:rsid w:val="000D5A31"/>
    <w:rsid w:val="000D5A52"/>
    <w:rsid w:val="000D6D48"/>
    <w:rsid w:val="000D75A3"/>
    <w:rsid w:val="000D7DDB"/>
    <w:rsid w:val="000D7FB3"/>
    <w:rsid w:val="000E2FEB"/>
    <w:rsid w:val="000E3CAC"/>
    <w:rsid w:val="000E3D65"/>
    <w:rsid w:val="000E3FF7"/>
    <w:rsid w:val="000E41D3"/>
    <w:rsid w:val="000E43B5"/>
    <w:rsid w:val="000E4562"/>
    <w:rsid w:val="000E4639"/>
    <w:rsid w:val="000E478F"/>
    <w:rsid w:val="000E4E4C"/>
    <w:rsid w:val="000E5229"/>
    <w:rsid w:val="000E53B4"/>
    <w:rsid w:val="000E5458"/>
    <w:rsid w:val="000E5543"/>
    <w:rsid w:val="000E588D"/>
    <w:rsid w:val="000E6089"/>
    <w:rsid w:val="000E6E45"/>
    <w:rsid w:val="000E70CC"/>
    <w:rsid w:val="000E7386"/>
    <w:rsid w:val="000E741F"/>
    <w:rsid w:val="000E7569"/>
    <w:rsid w:val="000E75EE"/>
    <w:rsid w:val="000E7E5E"/>
    <w:rsid w:val="000F0D3C"/>
    <w:rsid w:val="000F136A"/>
    <w:rsid w:val="000F1493"/>
    <w:rsid w:val="000F1CF0"/>
    <w:rsid w:val="000F210F"/>
    <w:rsid w:val="000F2384"/>
    <w:rsid w:val="000F2DD9"/>
    <w:rsid w:val="000F35DD"/>
    <w:rsid w:val="000F3AF4"/>
    <w:rsid w:val="000F3D50"/>
    <w:rsid w:val="000F4409"/>
    <w:rsid w:val="000F4C90"/>
    <w:rsid w:val="000F4F1E"/>
    <w:rsid w:val="000F52DF"/>
    <w:rsid w:val="000F58A6"/>
    <w:rsid w:val="000F593D"/>
    <w:rsid w:val="000F5A5C"/>
    <w:rsid w:val="000F6544"/>
    <w:rsid w:val="000F6746"/>
    <w:rsid w:val="000F6753"/>
    <w:rsid w:val="000F698F"/>
    <w:rsid w:val="000F6B72"/>
    <w:rsid w:val="000F6E40"/>
    <w:rsid w:val="000F6EE4"/>
    <w:rsid w:val="000F73D3"/>
    <w:rsid w:val="000F7868"/>
    <w:rsid w:val="000F7B0D"/>
    <w:rsid w:val="001003AA"/>
    <w:rsid w:val="001003DF"/>
    <w:rsid w:val="00100798"/>
    <w:rsid w:val="00100974"/>
    <w:rsid w:val="00101060"/>
    <w:rsid w:val="0010162B"/>
    <w:rsid w:val="00101C3E"/>
    <w:rsid w:val="0010210B"/>
    <w:rsid w:val="00103174"/>
    <w:rsid w:val="0010326A"/>
    <w:rsid w:val="00103C73"/>
    <w:rsid w:val="00103D62"/>
    <w:rsid w:val="00103E1B"/>
    <w:rsid w:val="0010402F"/>
    <w:rsid w:val="001041C3"/>
    <w:rsid w:val="00104463"/>
    <w:rsid w:val="00104F2F"/>
    <w:rsid w:val="001054B0"/>
    <w:rsid w:val="00105E48"/>
    <w:rsid w:val="00105EBC"/>
    <w:rsid w:val="00107200"/>
    <w:rsid w:val="00107E32"/>
    <w:rsid w:val="001105C6"/>
    <w:rsid w:val="001106D9"/>
    <w:rsid w:val="00110A80"/>
    <w:rsid w:val="00110B5E"/>
    <w:rsid w:val="00110BD0"/>
    <w:rsid w:val="00110FCB"/>
    <w:rsid w:val="00111127"/>
    <w:rsid w:val="00111D13"/>
    <w:rsid w:val="00114107"/>
    <w:rsid w:val="00114492"/>
    <w:rsid w:val="00114D6E"/>
    <w:rsid w:val="00115BA3"/>
    <w:rsid w:val="00115F9C"/>
    <w:rsid w:val="001161F7"/>
    <w:rsid w:val="00116B26"/>
    <w:rsid w:val="00116F42"/>
    <w:rsid w:val="001173F3"/>
    <w:rsid w:val="001174E2"/>
    <w:rsid w:val="00117733"/>
    <w:rsid w:val="00117F04"/>
    <w:rsid w:val="00120172"/>
    <w:rsid w:val="001205A2"/>
    <w:rsid w:val="00120872"/>
    <w:rsid w:val="00120D61"/>
    <w:rsid w:val="00121424"/>
    <w:rsid w:val="00121D1B"/>
    <w:rsid w:val="00122111"/>
    <w:rsid w:val="00122807"/>
    <w:rsid w:val="00122969"/>
    <w:rsid w:val="00122FF6"/>
    <w:rsid w:val="00124300"/>
    <w:rsid w:val="00124414"/>
    <w:rsid w:val="00124AE0"/>
    <w:rsid w:val="00124DCC"/>
    <w:rsid w:val="00124DDF"/>
    <w:rsid w:val="00125484"/>
    <w:rsid w:val="00125F0C"/>
    <w:rsid w:val="001272FC"/>
    <w:rsid w:val="001275AE"/>
    <w:rsid w:val="00127807"/>
    <w:rsid w:val="00127D5F"/>
    <w:rsid w:val="0013051F"/>
    <w:rsid w:val="00130C34"/>
    <w:rsid w:val="00130DDC"/>
    <w:rsid w:val="00131696"/>
    <w:rsid w:val="001326F1"/>
    <w:rsid w:val="001327E0"/>
    <w:rsid w:val="00132A0E"/>
    <w:rsid w:val="00132B9E"/>
    <w:rsid w:val="0013307A"/>
    <w:rsid w:val="00133092"/>
    <w:rsid w:val="001330F4"/>
    <w:rsid w:val="00133F4D"/>
    <w:rsid w:val="00134007"/>
    <w:rsid w:val="00134029"/>
    <w:rsid w:val="00134C93"/>
    <w:rsid w:val="00134CCD"/>
    <w:rsid w:val="00135752"/>
    <w:rsid w:val="0013590F"/>
    <w:rsid w:val="001363BE"/>
    <w:rsid w:val="001364E5"/>
    <w:rsid w:val="00136C09"/>
    <w:rsid w:val="0013755F"/>
    <w:rsid w:val="001376DC"/>
    <w:rsid w:val="00137908"/>
    <w:rsid w:val="00140053"/>
    <w:rsid w:val="001404FA"/>
    <w:rsid w:val="00140DDA"/>
    <w:rsid w:val="00141610"/>
    <w:rsid w:val="00141BE4"/>
    <w:rsid w:val="00141C56"/>
    <w:rsid w:val="0014212B"/>
    <w:rsid w:val="00142176"/>
    <w:rsid w:val="00142872"/>
    <w:rsid w:val="00142C52"/>
    <w:rsid w:val="0014399B"/>
    <w:rsid w:val="00143ECE"/>
    <w:rsid w:val="0014447E"/>
    <w:rsid w:val="00144CFF"/>
    <w:rsid w:val="00144DFD"/>
    <w:rsid w:val="001452D1"/>
    <w:rsid w:val="0014604E"/>
    <w:rsid w:val="001461F8"/>
    <w:rsid w:val="00147BF0"/>
    <w:rsid w:val="00150299"/>
    <w:rsid w:val="00150422"/>
    <w:rsid w:val="00150589"/>
    <w:rsid w:val="00151638"/>
    <w:rsid w:val="00151959"/>
    <w:rsid w:val="00151A58"/>
    <w:rsid w:val="00151F2A"/>
    <w:rsid w:val="00152881"/>
    <w:rsid w:val="00152EAE"/>
    <w:rsid w:val="00153220"/>
    <w:rsid w:val="00153508"/>
    <w:rsid w:val="00153C39"/>
    <w:rsid w:val="00153E79"/>
    <w:rsid w:val="0015424D"/>
    <w:rsid w:val="001544B8"/>
    <w:rsid w:val="00154613"/>
    <w:rsid w:val="001546A1"/>
    <w:rsid w:val="00154759"/>
    <w:rsid w:val="00154D33"/>
    <w:rsid w:val="001558A0"/>
    <w:rsid w:val="0015609F"/>
    <w:rsid w:val="00156286"/>
    <w:rsid w:val="0015689F"/>
    <w:rsid w:val="00156997"/>
    <w:rsid w:val="00156D91"/>
    <w:rsid w:val="00156ECB"/>
    <w:rsid w:val="00157D5D"/>
    <w:rsid w:val="001601DF"/>
    <w:rsid w:val="0016033B"/>
    <w:rsid w:val="0016049B"/>
    <w:rsid w:val="001604D5"/>
    <w:rsid w:val="00160811"/>
    <w:rsid w:val="001608AF"/>
    <w:rsid w:val="00160CBE"/>
    <w:rsid w:val="001611B2"/>
    <w:rsid w:val="0016196F"/>
    <w:rsid w:val="00161DF1"/>
    <w:rsid w:val="00161F29"/>
    <w:rsid w:val="0016332F"/>
    <w:rsid w:val="001634B9"/>
    <w:rsid w:val="00163AF0"/>
    <w:rsid w:val="00164CF5"/>
    <w:rsid w:val="00165060"/>
    <w:rsid w:val="00165125"/>
    <w:rsid w:val="00165308"/>
    <w:rsid w:val="001655FA"/>
    <w:rsid w:val="00165670"/>
    <w:rsid w:val="00165A56"/>
    <w:rsid w:val="00166174"/>
    <w:rsid w:val="00166639"/>
    <w:rsid w:val="001668FA"/>
    <w:rsid w:val="001674C5"/>
    <w:rsid w:val="0017037A"/>
    <w:rsid w:val="001708CC"/>
    <w:rsid w:val="00170A55"/>
    <w:rsid w:val="00170D5A"/>
    <w:rsid w:val="0017129E"/>
    <w:rsid w:val="0017135D"/>
    <w:rsid w:val="001717AA"/>
    <w:rsid w:val="00171855"/>
    <w:rsid w:val="001719D4"/>
    <w:rsid w:val="00171AFA"/>
    <w:rsid w:val="00171C39"/>
    <w:rsid w:val="00171DF7"/>
    <w:rsid w:val="00171F69"/>
    <w:rsid w:val="001722A2"/>
    <w:rsid w:val="0017244D"/>
    <w:rsid w:val="00172F1F"/>
    <w:rsid w:val="00173665"/>
    <w:rsid w:val="0017486F"/>
    <w:rsid w:val="001748F5"/>
    <w:rsid w:val="00175A86"/>
    <w:rsid w:val="001760D7"/>
    <w:rsid w:val="00176120"/>
    <w:rsid w:val="00176836"/>
    <w:rsid w:val="00176DBB"/>
    <w:rsid w:val="00176F02"/>
    <w:rsid w:val="00177145"/>
    <w:rsid w:val="00177472"/>
    <w:rsid w:val="00177AF7"/>
    <w:rsid w:val="00177E8C"/>
    <w:rsid w:val="00180E82"/>
    <w:rsid w:val="0018118D"/>
    <w:rsid w:val="0018177D"/>
    <w:rsid w:val="00181859"/>
    <w:rsid w:val="00181A6B"/>
    <w:rsid w:val="00181AC6"/>
    <w:rsid w:val="00182620"/>
    <w:rsid w:val="00182662"/>
    <w:rsid w:val="00182B42"/>
    <w:rsid w:val="0018309E"/>
    <w:rsid w:val="00183139"/>
    <w:rsid w:val="001836B5"/>
    <w:rsid w:val="00183B58"/>
    <w:rsid w:val="00184528"/>
    <w:rsid w:val="00184746"/>
    <w:rsid w:val="00184825"/>
    <w:rsid w:val="00185267"/>
    <w:rsid w:val="001861D0"/>
    <w:rsid w:val="00186393"/>
    <w:rsid w:val="001863BE"/>
    <w:rsid w:val="001863BF"/>
    <w:rsid w:val="00186542"/>
    <w:rsid w:val="00186AA7"/>
    <w:rsid w:val="001870BF"/>
    <w:rsid w:val="00190D12"/>
    <w:rsid w:val="00190E47"/>
    <w:rsid w:val="00190EA5"/>
    <w:rsid w:val="001910E0"/>
    <w:rsid w:val="0019115C"/>
    <w:rsid w:val="001920DB"/>
    <w:rsid w:val="00192486"/>
    <w:rsid w:val="00192A80"/>
    <w:rsid w:val="00192B54"/>
    <w:rsid w:val="00194616"/>
    <w:rsid w:val="001960F4"/>
    <w:rsid w:val="00196734"/>
    <w:rsid w:val="001973B9"/>
    <w:rsid w:val="00197500"/>
    <w:rsid w:val="00197884"/>
    <w:rsid w:val="001A00D9"/>
    <w:rsid w:val="001A05F5"/>
    <w:rsid w:val="001A21F8"/>
    <w:rsid w:val="001A2561"/>
    <w:rsid w:val="001A2E3D"/>
    <w:rsid w:val="001A326C"/>
    <w:rsid w:val="001A3A11"/>
    <w:rsid w:val="001A412F"/>
    <w:rsid w:val="001A418F"/>
    <w:rsid w:val="001A472C"/>
    <w:rsid w:val="001A4919"/>
    <w:rsid w:val="001A4ED3"/>
    <w:rsid w:val="001A5183"/>
    <w:rsid w:val="001A5249"/>
    <w:rsid w:val="001A55C5"/>
    <w:rsid w:val="001A56FB"/>
    <w:rsid w:val="001A5928"/>
    <w:rsid w:val="001A5F26"/>
    <w:rsid w:val="001A6382"/>
    <w:rsid w:val="001A66B4"/>
    <w:rsid w:val="001A6923"/>
    <w:rsid w:val="001A6FE3"/>
    <w:rsid w:val="001B112D"/>
    <w:rsid w:val="001B13E8"/>
    <w:rsid w:val="001B1591"/>
    <w:rsid w:val="001B272C"/>
    <w:rsid w:val="001B2A53"/>
    <w:rsid w:val="001B324F"/>
    <w:rsid w:val="001B3C2D"/>
    <w:rsid w:val="001B3FBF"/>
    <w:rsid w:val="001B4B16"/>
    <w:rsid w:val="001B4F4C"/>
    <w:rsid w:val="001B5A29"/>
    <w:rsid w:val="001B5DB2"/>
    <w:rsid w:val="001B5ED6"/>
    <w:rsid w:val="001B5F08"/>
    <w:rsid w:val="001B6358"/>
    <w:rsid w:val="001B6878"/>
    <w:rsid w:val="001B6973"/>
    <w:rsid w:val="001B71FD"/>
    <w:rsid w:val="001B7D5C"/>
    <w:rsid w:val="001B7EF0"/>
    <w:rsid w:val="001C00CF"/>
    <w:rsid w:val="001C0A99"/>
    <w:rsid w:val="001C0BCE"/>
    <w:rsid w:val="001C0CAF"/>
    <w:rsid w:val="001C24E1"/>
    <w:rsid w:val="001C25B9"/>
    <w:rsid w:val="001C2C86"/>
    <w:rsid w:val="001C2F7C"/>
    <w:rsid w:val="001C33B5"/>
    <w:rsid w:val="001C3559"/>
    <w:rsid w:val="001C367D"/>
    <w:rsid w:val="001C3902"/>
    <w:rsid w:val="001C425B"/>
    <w:rsid w:val="001C4456"/>
    <w:rsid w:val="001C447C"/>
    <w:rsid w:val="001C4542"/>
    <w:rsid w:val="001C4FAF"/>
    <w:rsid w:val="001C57C8"/>
    <w:rsid w:val="001C6319"/>
    <w:rsid w:val="001C7190"/>
    <w:rsid w:val="001C797A"/>
    <w:rsid w:val="001C7AB2"/>
    <w:rsid w:val="001C7E2F"/>
    <w:rsid w:val="001C7EAC"/>
    <w:rsid w:val="001D0247"/>
    <w:rsid w:val="001D0318"/>
    <w:rsid w:val="001D0488"/>
    <w:rsid w:val="001D0575"/>
    <w:rsid w:val="001D090D"/>
    <w:rsid w:val="001D239A"/>
    <w:rsid w:val="001D2614"/>
    <w:rsid w:val="001D26AD"/>
    <w:rsid w:val="001D285A"/>
    <w:rsid w:val="001D32FB"/>
    <w:rsid w:val="001D3535"/>
    <w:rsid w:val="001D35DE"/>
    <w:rsid w:val="001D373B"/>
    <w:rsid w:val="001D37ED"/>
    <w:rsid w:val="001D42EA"/>
    <w:rsid w:val="001D48BD"/>
    <w:rsid w:val="001D4A4D"/>
    <w:rsid w:val="001D5523"/>
    <w:rsid w:val="001D556A"/>
    <w:rsid w:val="001D5950"/>
    <w:rsid w:val="001D5D36"/>
    <w:rsid w:val="001D5EE4"/>
    <w:rsid w:val="001D6384"/>
    <w:rsid w:val="001D67C2"/>
    <w:rsid w:val="001D6953"/>
    <w:rsid w:val="001D70B4"/>
    <w:rsid w:val="001D7C5D"/>
    <w:rsid w:val="001E01FC"/>
    <w:rsid w:val="001E0C5B"/>
    <w:rsid w:val="001E0F94"/>
    <w:rsid w:val="001E11B5"/>
    <w:rsid w:val="001E1DC2"/>
    <w:rsid w:val="001E20F9"/>
    <w:rsid w:val="001E2503"/>
    <w:rsid w:val="001E2B37"/>
    <w:rsid w:val="001E2B59"/>
    <w:rsid w:val="001E3556"/>
    <w:rsid w:val="001E384D"/>
    <w:rsid w:val="001E3950"/>
    <w:rsid w:val="001E3D87"/>
    <w:rsid w:val="001E3F47"/>
    <w:rsid w:val="001E4079"/>
    <w:rsid w:val="001E42E5"/>
    <w:rsid w:val="001E48A5"/>
    <w:rsid w:val="001E4C0B"/>
    <w:rsid w:val="001E5451"/>
    <w:rsid w:val="001E5B7E"/>
    <w:rsid w:val="001E5DE6"/>
    <w:rsid w:val="001E5EDB"/>
    <w:rsid w:val="001E6284"/>
    <w:rsid w:val="001E6AAB"/>
    <w:rsid w:val="001E739F"/>
    <w:rsid w:val="001E741E"/>
    <w:rsid w:val="001F0531"/>
    <w:rsid w:val="001F06DA"/>
    <w:rsid w:val="001F0745"/>
    <w:rsid w:val="001F0DF8"/>
    <w:rsid w:val="001F1C6B"/>
    <w:rsid w:val="001F2216"/>
    <w:rsid w:val="001F2525"/>
    <w:rsid w:val="001F30BC"/>
    <w:rsid w:val="001F328C"/>
    <w:rsid w:val="001F3DD5"/>
    <w:rsid w:val="001F3E40"/>
    <w:rsid w:val="001F3E7F"/>
    <w:rsid w:val="001F44BE"/>
    <w:rsid w:val="001F458F"/>
    <w:rsid w:val="001F5166"/>
    <w:rsid w:val="001F53EF"/>
    <w:rsid w:val="001F543A"/>
    <w:rsid w:val="001F54DE"/>
    <w:rsid w:val="001F56D1"/>
    <w:rsid w:val="001F5F6E"/>
    <w:rsid w:val="001F60B8"/>
    <w:rsid w:val="001F633F"/>
    <w:rsid w:val="001F6A30"/>
    <w:rsid w:val="001F6C3D"/>
    <w:rsid w:val="001F6F9D"/>
    <w:rsid w:val="001F6FBA"/>
    <w:rsid w:val="001F70F3"/>
    <w:rsid w:val="001F70F5"/>
    <w:rsid w:val="001F7336"/>
    <w:rsid w:val="001F7A0B"/>
    <w:rsid w:val="001F7B89"/>
    <w:rsid w:val="002006A0"/>
    <w:rsid w:val="00200C97"/>
    <w:rsid w:val="00200F39"/>
    <w:rsid w:val="002016FD"/>
    <w:rsid w:val="00201720"/>
    <w:rsid w:val="002018F4"/>
    <w:rsid w:val="00201CE0"/>
    <w:rsid w:val="00203000"/>
    <w:rsid w:val="00203EC0"/>
    <w:rsid w:val="00203ECF"/>
    <w:rsid w:val="00203FCD"/>
    <w:rsid w:val="00204683"/>
    <w:rsid w:val="002049E3"/>
    <w:rsid w:val="00204E84"/>
    <w:rsid w:val="00204F4E"/>
    <w:rsid w:val="00205192"/>
    <w:rsid w:val="002056CE"/>
    <w:rsid w:val="00205C4C"/>
    <w:rsid w:val="00206368"/>
    <w:rsid w:val="002067B1"/>
    <w:rsid w:val="0020689B"/>
    <w:rsid w:val="00207784"/>
    <w:rsid w:val="0020786B"/>
    <w:rsid w:val="00207AA3"/>
    <w:rsid w:val="0021028A"/>
    <w:rsid w:val="0021064A"/>
    <w:rsid w:val="002106C8"/>
    <w:rsid w:val="00211119"/>
    <w:rsid w:val="00211749"/>
    <w:rsid w:val="00211D79"/>
    <w:rsid w:val="0021276F"/>
    <w:rsid w:val="002127A7"/>
    <w:rsid w:val="00212804"/>
    <w:rsid w:val="00212EE0"/>
    <w:rsid w:val="0021374D"/>
    <w:rsid w:val="0021398A"/>
    <w:rsid w:val="00213C74"/>
    <w:rsid w:val="002148E2"/>
    <w:rsid w:val="00215959"/>
    <w:rsid w:val="00216546"/>
    <w:rsid w:val="002166D0"/>
    <w:rsid w:val="002168DF"/>
    <w:rsid w:val="002176E5"/>
    <w:rsid w:val="00217809"/>
    <w:rsid w:val="00217BC1"/>
    <w:rsid w:val="002201FC"/>
    <w:rsid w:val="00220717"/>
    <w:rsid w:val="00220A5C"/>
    <w:rsid w:val="00220FE3"/>
    <w:rsid w:val="002212CC"/>
    <w:rsid w:val="00221470"/>
    <w:rsid w:val="0022208F"/>
    <w:rsid w:val="002220A5"/>
    <w:rsid w:val="0022276A"/>
    <w:rsid w:val="00222EC9"/>
    <w:rsid w:val="002247AA"/>
    <w:rsid w:val="0022566A"/>
    <w:rsid w:val="0022667D"/>
    <w:rsid w:val="00226C18"/>
    <w:rsid w:val="00226C4A"/>
    <w:rsid w:val="00227395"/>
    <w:rsid w:val="0022743C"/>
    <w:rsid w:val="00227A08"/>
    <w:rsid w:val="00230B03"/>
    <w:rsid w:val="002320DA"/>
    <w:rsid w:val="002324E2"/>
    <w:rsid w:val="00233706"/>
    <w:rsid w:val="00233A08"/>
    <w:rsid w:val="00234498"/>
    <w:rsid w:val="0023465D"/>
    <w:rsid w:val="002352A8"/>
    <w:rsid w:val="002354E3"/>
    <w:rsid w:val="00235D58"/>
    <w:rsid w:val="0023687E"/>
    <w:rsid w:val="0023733D"/>
    <w:rsid w:val="002373AA"/>
    <w:rsid w:val="00237EFC"/>
    <w:rsid w:val="002405C6"/>
    <w:rsid w:val="00240B82"/>
    <w:rsid w:val="00241291"/>
    <w:rsid w:val="00241E94"/>
    <w:rsid w:val="00242365"/>
    <w:rsid w:val="00242C2C"/>
    <w:rsid w:val="0024398B"/>
    <w:rsid w:val="00243E6E"/>
    <w:rsid w:val="002444BF"/>
    <w:rsid w:val="00244C6B"/>
    <w:rsid w:val="00246245"/>
    <w:rsid w:val="002469A8"/>
    <w:rsid w:val="00247885"/>
    <w:rsid w:val="00250605"/>
    <w:rsid w:val="00251882"/>
    <w:rsid w:val="0025199E"/>
    <w:rsid w:val="00251BD9"/>
    <w:rsid w:val="00251C7F"/>
    <w:rsid w:val="00251D94"/>
    <w:rsid w:val="00251EEB"/>
    <w:rsid w:val="00251FA3"/>
    <w:rsid w:val="00252326"/>
    <w:rsid w:val="00252383"/>
    <w:rsid w:val="00252394"/>
    <w:rsid w:val="00252798"/>
    <w:rsid w:val="002529CE"/>
    <w:rsid w:val="00252B2D"/>
    <w:rsid w:val="00252EF0"/>
    <w:rsid w:val="00253527"/>
    <w:rsid w:val="002537A7"/>
    <w:rsid w:val="00253A0B"/>
    <w:rsid w:val="00253FB4"/>
    <w:rsid w:val="00254792"/>
    <w:rsid w:val="002547B3"/>
    <w:rsid w:val="00255BF1"/>
    <w:rsid w:val="00255DF8"/>
    <w:rsid w:val="002569B9"/>
    <w:rsid w:val="00257ADE"/>
    <w:rsid w:val="00257BAF"/>
    <w:rsid w:val="00260162"/>
    <w:rsid w:val="00260203"/>
    <w:rsid w:val="00260FB5"/>
    <w:rsid w:val="0026140B"/>
    <w:rsid w:val="0026161C"/>
    <w:rsid w:val="00261BA9"/>
    <w:rsid w:val="00261DA1"/>
    <w:rsid w:val="00261E5E"/>
    <w:rsid w:val="00261F0B"/>
    <w:rsid w:val="00262354"/>
    <w:rsid w:val="00262515"/>
    <w:rsid w:val="002627D3"/>
    <w:rsid w:val="00262FFC"/>
    <w:rsid w:val="00263666"/>
    <w:rsid w:val="002636BB"/>
    <w:rsid w:val="00263A58"/>
    <w:rsid w:val="00263BDF"/>
    <w:rsid w:val="00263F8A"/>
    <w:rsid w:val="00264546"/>
    <w:rsid w:val="002645F9"/>
    <w:rsid w:val="00264634"/>
    <w:rsid w:val="0026504A"/>
    <w:rsid w:val="002654C8"/>
    <w:rsid w:val="00265CAC"/>
    <w:rsid w:val="00265ECD"/>
    <w:rsid w:val="0026626C"/>
    <w:rsid w:val="002663CE"/>
    <w:rsid w:val="002665A1"/>
    <w:rsid w:val="00266C57"/>
    <w:rsid w:val="0026700C"/>
    <w:rsid w:val="00270002"/>
    <w:rsid w:val="002704E5"/>
    <w:rsid w:val="0027133F"/>
    <w:rsid w:val="00271785"/>
    <w:rsid w:val="00271FD9"/>
    <w:rsid w:val="00271FEC"/>
    <w:rsid w:val="00272506"/>
    <w:rsid w:val="002728AD"/>
    <w:rsid w:val="00272A50"/>
    <w:rsid w:val="00272B7B"/>
    <w:rsid w:val="00272D93"/>
    <w:rsid w:val="002730E7"/>
    <w:rsid w:val="00273DB7"/>
    <w:rsid w:val="00274075"/>
    <w:rsid w:val="002742F5"/>
    <w:rsid w:val="0027444A"/>
    <w:rsid w:val="002744CF"/>
    <w:rsid w:val="00274557"/>
    <w:rsid w:val="00274D1D"/>
    <w:rsid w:val="00274F7A"/>
    <w:rsid w:val="002751D9"/>
    <w:rsid w:val="002754BF"/>
    <w:rsid w:val="00275557"/>
    <w:rsid w:val="00275957"/>
    <w:rsid w:val="00276412"/>
    <w:rsid w:val="0027659F"/>
    <w:rsid w:val="00276AE8"/>
    <w:rsid w:val="00276E8C"/>
    <w:rsid w:val="00277290"/>
    <w:rsid w:val="00277E27"/>
    <w:rsid w:val="00277E8A"/>
    <w:rsid w:val="0028111A"/>
    <w:rsid w:val="00281937"/>
    <w:rsid w:val="00281C29"/>
    <w:rsid w:val="00282B5C"/>
    <w:rsid w:val="00282EB7"/>
    <w:rsid w:val="00283BC8"/>
    <w:rsid w:val="00283CD2"/>
    <w:rsid w:val="00284226"/>
    <w:rsid w:val="00284F54"/>
    <w:rsid w:val="002850D0"/>
    <w:rsid w:val="002853F1"/>
    <w:rsid w:val="0028551C"/>
    <w:rsid w:val="00285609"/>
    <w:rsid w:val="002857DC"/>
    <w:rsid w:val="002858AC"/>
    <w:rsid w:val="00287005"/>
    <w:rsid w:val="00287028"/>
    <w:rsid w:val="00287F2B"/>
    <w:rsid w:val="00287FAA"/>
    <w:rsid w:val="00290042"/>
    <w:rsid w:val="002909B7"/>
    <w:rsid w:val="00290C92"/>
    <w:rsid w:val="002910B9"/>
    <w:rsid w:val="00291358"/>
    <w:rsid w:val="00291591"/>
    <w:rsid w:val="002919BD"/>
    <w:rsid w:val="002920B5"/>
    <w:rsid w:val="0029225E"/>
    <w:rsid w:val="00292971"/>
    <w:rsid w:val="00292BB7"/>
    <w:rsid w:val="00294F00"/>
    <w:rsid w:val="00295123"/>
    <w:rsid w:val="002952D3"/>
    <w:rsid w:val="002954D1"/>
    <w:rsid w:val="00295A23"/>
    <w:rsid w:val="00295D95"/>
    <w:rsid w:val="00295EF6"/>
    <w:rsid w:val="002960F9"/>
    <w:rsid w:val="002962A7"/>
    <w:rsid w:val="00297137"/>
    <w:rsid w:val="002972BB"/>
    <w:rsid w:val="002A0605"/>
    <w:rsid w:val="002A0624"/>
    <w:rsid w:val="002A0975"/>
    <w:rsid w:val="002A119C"/>
    <w:rsid w:val="002A13ED"/>
    <w:rsid w:val="002A2445"/>
    <w:rsid w:val="002A2639"/>
    <w:rsid w:val="002A2676"/>
    <w:rsid w:val="002A2725"/>
    <w:rsid w:val="002A2986"/>
    <w:rsid w:val="002A2AC0"/>
    <w:rsid w:val="002A2BFF"/>
    <w:rsid w:val="002A2F7E"/>
    <w:rsid w:val="002A31F3"/>
    <w:rsid w:val="002A3867"/>
    <w:rsid w:val="002A43E7"/>
    <w:rsid w:val="002A4572"/>
    <w:rsid w:val="002A5234"/>
    <w:rsid w:val="002A568A"/>
    <w:rsid w:val="002A5765"/>
    <w:rsid w:val="002A577B"/>
    <w:rsid w:val="002A5B8D"/>
    <w:rsid w:val="002A5C9E"/>
    <w:rsid w:val="002A5D7B"/>
    <w:rsid w:val="002A5EE7"/>
    <w:rsid w:val="002A60F4"/>
    <w:rsid w:val="002A64EE"/>
    <w:rsid w:val="002A6BB9"/>
    <w:rsid w:val="002B04B2"/>
    <w:rsid w:val="002B0CEE"/>
    <w:rsid w:val="002B13DF"/>
    <w:rsid w:val="002B145B"/>
    <w:rsid w:val="002B1C44"/>
    <w:rsid w:val="002B24E8"/>
    <w:rsid w:val="002B2542"/>
    <w:rsid w:val="002B27E5"/>
    <w:rsid w:val="002B27F6"/>
    <w:rsid w:val="002B2A05"/>
    <w:rsid w:val="002B3072"/>
    <w:rsid w:val="002B360B"/>
    <w:rsid w:val="002B3D0E"/>
    <w:rsid w:val="002B3DA0"/>
    <w:rsid w:val="002B3F33"/>
    <w:rsid w:val="002B4DC3"/>
    <w:rsid w:val="002B55BF"/>
    <w:rsid w:val="002B5C4D"/>
    <w:rsid w:val="002B5C7B"/>
    <w:rsid w:val="002B5C88"/>
    <w:rsid w:val="002B5C8F"/>
    <w:rsid w:val="002B5CA3"/>
    <w:rsid w:val="002B6C28"/>
    <w:rsid w:val="002B7901"/>
    <w:rsid w:val="002B7AF1"/>
    <w:rsid w:val="002C02B1"/>
    <w:rsid w:val="002C04D4"/>
    <w:rsid w:val="002C07CD"/>
    <w:rsid w:val="002C1353"/>
    <w:rsid w:val="002C1367"/>
    <w:rsid w:val="002C1A06"/>
    <w:rsid w:val="002C1AB8"/>
    <w:rsid w:val="002C1D26"/>
    <w:rsid w:val="002C1DE9"/>
    <w:rsid w:val="002C3C20"/>
    <w:rsid w:val="002C48E1"/>
    <w:rsid w:val="002C5874"/>
    <w:rsid w:val="002C593F"/>
    <w:rsid w:val="002C5F72"/>
    <w:rsid w:val="002C691D"/>
    <w:rsid w:val="002C6EE1"/>
    <w:rsid w:val="002C7E71"/>
    <w:rsid w:val="002C87E0"/>
    <w:rsid w:val="002D0865"/>
    <w:rsid w:val="002D1376"/>
    <w:rsid w:val="002D1411"/>
    <w:rsid w:val="002D1572"/>
    <w:rsid w:val="002D2112"/>
    <w:rsid w:val="002D23EA"/>
    <w:rsid w:val="002D2B47"/>
    <w:rsid w:val="002D2E93"/>
    <w:rsid w:val="002D4386"/>
    <w:rsid w:val="002D4F3D"/>
    <w:rsid w:val="002D50C2"/>
    <w:rsid w:val="002D50E6"/>
    <w:rsid w:val="002D540C"/>
    <w:rsid w:val="002D602D"/>
    <w:rsid w:val="002D65EA"/>
    <w:rsid w:val="002D6E79"/>
    <w:rsid w:val="002D6EE2"/>
    <w:rsid w:val="002D7A94"/>
    <w:rsid w:val="002D7B5C"/>
    <w:rsid w:val="002E0605"/>
    <w:rsid w:val="002E0659"/>
    <w:rsid w:val="002E0693"/>
    <w:rsid w:val="002E0B02"/>
    <w:rsid w:val="002E117B"/>
    <w:rsid w:val="002E1511"/>
    <w:rsid w:val="002E20D9"/>
    <w:rsid w:val="002E2DFA"/>
    <w:rsid w:val="002E31BB"/>
    <w:rsid w:val="002E34BC"/>
    <w:rsid w:val="002E375A"/>
    <w:rsid w:val="002E3B00"/>
    <w:rsid w:val="002E3C01"/>
    <w:rsid w:val="002E42A7"/>
    <w:rsid w:val="002E4749"/>
    <w:rsid w:val="002E494B"/>
    <w:rsid w:val="002E53BC"/>
    <w:rsid w:val="002E5472"/>
    <w:rsid w:val="002E5521"/>
    <w:rsid w:val="002E5A1C"/>
    <w:rsid w:val="002E5AF5"/>
    <w:rsid w:val="002E5AFE"/>
    <w:rsid w:val="002E61C4"/>
    <w:rsid w:val="002E6CD0"/>
    <w:rsid w:val="002E6D63"/>
    <w:rsid w:val="002E6D7B"/>
    <w:rsid w:val="002E7975"/>
    <w:rsid w:val="002E7B50"/>
    <w:rsid w:val="002E7CFF"/>
    <w:rsid w:val="002F0043"/>
    <w:rsid w:val="002F0134"/>
    <w:rsid w:val="002F0237"/>
    <w:rsid w:val="002F0434"/>
    <w:rsid w:val="002F0BEC"/>
    <w:rsid w:val="002F223C"/>
    <w:rsid w:val="002F2540"/>
    <w:rsid w:val="002F2D6E"/>
    <w:rsid w:val="002F2D89"/>
    <w:rsid w:val="002F32C8"/>
    <w:rsid w:val="002F3559"/>
    <w:rsid w:val="002F45C3"/>
    <w:rsid w:val="002F4982"/>
    <w:rsid w:val="002F5C0E"/>
    <w:rsid w:val="002F656E"/>
    <w:rsid w:val="002F6CFA"/>
    <w:rsid w:val="002F7051"/>
    <w:rsid w:val="002F7093"/>
    <w:rsid w:val="00300140"/>
    <w:rsid w:val="0030125D"/>
    <w:rsid w:val="0030148B"/>
    <w:rsid w:val="0030163B"/>
    <w:rsid w:val="00301946"/>
    <w:rsid w:val="00301B64"/>
    <w:rsid w:val="00302153"/>
    <w:rsid w:val="003021F9"/>
    <w:rsid w:val="00302730"/>
    <w:rsid w:val="003029F7"/>
    <w:rsid w:val="0030369A"/>
    <w:rsid w:val="003045EC"/>
    <w:rsid w:val="00304F49"/>
    <w:rsid w:val="00305036"/>
    <w:rsid w:val="003053BF"/>
    <w:rsid w:val="00305C53"/>
    <w:rsid w:val="0030631F"/>
    <w:rsid w:val="00306860"/>
    <w:rsid w:val="00306D3A"/>
    <w:rsid w:val="00307029"/>
    <w:rsid w:val="00307312"/>
    <w:rsid w:val="0030741D"/>
    <w:rsid w:val="00307A72"/>
    <w:rsid w:val="00310443"/>
    <w:rsid w:val="00310E3F"/>
    <w:rsid w:val="00311538"/>
    <w:rsid w:val="00311642"/>
    <w:rsid w:val="00312161"/>
    <w:rsid w:val="00312253"/>
    <w:rsid w:val="00312456"/>
    <w:rsid w:val="003126A6"/>
    <w:rsid w:val="0031357B"/>
    <w:rsid w:val="00313CAF"/>
    <w:rsid w:val="00313D9F"/>
    <w:rsid w:val="00314349"/>
    <w:rsid w:val="00315900"/>
    <w:rsid w:val="00315DD0"/>
    <w:rsid w:val="003160E6"/>
    <w:rsid w:val="00316438"/>
    <w:rsid w:val="003202DB"/>
    <w:rsid w:val="003204A9"/>
    <w:rsid w:val="00320887"/>
    <w:rsid w:val="00320CEC"/>
    <w:rsid w:val="00320F7A"/>
    <w:rsid w:val="00320FB1"/>
    <w:rsid w:val="003216E9"/>
    <w:rsid w:val="00321868"/>
    <w:rsid w:val="003228FA"/>
    <w:rsid w:val="00322945"/>
    <w:rsid w:val="00322970"/>
    <w:rsid w:val="00322CBD"/>
    <w:rsid w:val="00323910"/>
    <w:rsid w:val="00323DFB"/>
    <w:rsid w:val="00324667"/>
    <w:rsid w:val="00324ADA"/>
    <w:rsid w:val="00324C1E"/>
    <w:rsid w:val="00324C5A"/>
    <w:rsid w:val="00325658"/>
    <w:rsid w:val="00325D31"/>
    <w:rsid w:val="0032601A"/>
    <w:rsid w:val="0032684B"/>
    <w:rsid w:val="0032696B"/>
    <w:rsid w:val="00327378"/>
    <w:rsid w:val="003274A7"/>
    <w:rsid w:val="003277C5"/>
    <w:rsid w:val="00331E19"/>
    <w:rsid w:val="00331F5C"/>
    <w:rsid w:val="003320F3"/>
    <w:rsid w:val="00332485"/>
    <w:rsid w:val="00332AD6"/>
    <w:rsid w:val="00332EDB"/>
    <w:rsid w:val="00334171"/>
    <w:rsid w:val="0033472D"/>
    <w:rsid w:val="0033484D"/>
    <w:rsid w:val="00334B60"/>
    <w:rsid w:val="00335C27"/>
    <w:rsid w:val="00335E5D"/>
    <w:rsid w:val="0033607D"/>
    <w:rsid w:val="00337CD0"/>
    <w:rsid w:val="00337E33"/>
    <w:rsid w:val="00340A2F"/>
    <w:rsid w:val="003415CD"/>
    <w:rsid w:val="00341779"/>
    <w:rsid w:val="00341F93"/>
    <w:rsid w:val="00342CC9"/>
    <w:rsid w:val="00342DDB"/>
    <w:rsid w:val="0034329C"/>
    <w:rsid w:val="00343B83"/>
    <w:rsid w:val="00343BF7"/>
    <w:rsid w:val="00343E4C"/>
    <w:rsid w:val="00345095"/>
    <w:rsid w:val="00345212"/>
    <w:rsid w:val="00345737"/>
    <w:rsid w:val="0034610B"/>
    <w:rsid w:val="003464D0"/>
    <w:rsid w:val="00346834"/>
    <w:rsid w:val="003468E5"/>
    <w:rsid w:val="00346A89"/>
    <w:rsid w:val="00346CD1"/>
    <w:rsid w:val="00347B08"/>
    <w:rsid w:val="0035014B"/>
    <w:rsid w:val="00350B1E"/>
    <w:rsid w:val="003510CD"/>
    <w:rsid w:val="00351500"/>
    <w:rsid w:val="00351587"/>
    <w:rsid w:val="00351D9A"/>
    <w:rsid w:val="0035223D"/>
    <w:rsid w:val="003525D4"/>
    <w:rsid w:val="003526AD"/>
    <w:rsid w:val="003529A4"/>
    <w:rsid w:val="003531A5"/>
    <w:rsid w:val="003536AA"/>
    <w:rsid w:val="00353EB5"/>
    <w:rsid w:val="00354880"/>
    <w:rsid w:val="003548E6"/>
    <w:rsid w:val="00354E58"/>
    <w:rsid w:val="003551E9"/>
    <w:rsid w:val="00355463"/>
    <w:rsid w:val="00355A74"/>
    <w:rsid w:val="00355CD8"/>
    <w:rsid w:val="00356380"/>
    <w:rsid w:val="003567DC"/>
    <w:rsid w:val="003568C0"/>
    <w:rsid w:val="0035725C"/>
    <w:rsid w:val="00357F6A"/>
    <w:rsid w:val="003602F6"/>
    <w:rsid w:val="003609C2"/>
    <w:rsid w:val="00360A09"/>
    <w:rsid w:val="00360BA1"/>
    <w:rsid w:val="00361532"/>
    <w:rsid w:val="003618D6"/>
    <w:rsid w:val="00361983"/>
    <w:rsid w:val="003621A7"/>
    <w:rsid w:val="003625BA"/>
    <w:rsid w:val="0036313A"/>
    <w:rsid w:val="003632DB"/>
    <w:rsid w:val="00363707"/>
    <w:rsid w:val="003638C6"/>
    <w:rsid w:val="00363D76"/>
    <w:rsid w:val="003647B5"/>
    <w:rsid w:val="00364864"/>
    <w:rsid w:val="0036519F"/>
    <w:rsid w:val="00365363"/>
    <w:rsid w:val="00365753"/>
    <w:rsid w:val="00365924"/>
    <w:rsid w:val="00365F23"/>
    <w:rsid w:val="0036604B"/>
    <w:rsid w:val="003661AE"/>
    <w:rsid w:val="00366364"/>
    <w:rsid w:val="0036647D"/>
    <w:rsid w:val="00366504"/>
    <w:rsid w:val="00366CFE"/>
    <w:rsid w:val="00366D00"/>
    <w:rsid w:val="003675B2"/>
    <w:rsid w:val="00367DDA"/>
    <w:rsid w:val="00367E4A"/>
    <w:rsid w:val="00367E84"/>
    <w:rsid w:val="003701F8"/>
    <w:rsid w:val="00370EF3"/>
    <w:rsid w:val="00371CC4"/>
    <w:rsid w:val="00371F78"/>
    <w:rsid w:val="00372503"/>
    <w:rsid w:val="00372758"/>
    <w:rsid w:val="003727D5"/>
    <w:rsid w:val="00372B6F"/>
    <w:rsid w:val="00372F0C"/>
    <w:rsid w:val="00373111"/>
    <w:rsid w:val="00373A8A"/>
    <w:rsid w:val="003749CB"/>
    <w:rsid w:val="00374A34"/>
    <w:rsid w:val="00375010"/>
    <w:rsid w:val="00375A3B"/>
    <w:rsid w:val="0037631C"/>
    <w:rsid w:val="003764AC"/>
    <w:rsid w:val="003768A9"/>
    <w:rsid w:val="0037690C"/>
    <w:rsid w:val="00376EFF"/>
    <w:rsid w:val="003772BD"/>
    <w:rsid w:val="00377508"/>
    <w:rsid w:val="0037778F"/>
    <w:rsid w:val="00377CCE"/>
    <w:rsid w:val="003805A8"/>
    <w:rsid w:val="003805E2"/>
    <w:rsid w:val="003808E5"/>
    <w:rsid w:val="00380D4B"/>
    <w:rsid w:val="00380DB8"/>
    <w:rsid w:val="0038131C"/>
    <w:rsid w:val="0038135B"/>
    <w:rsid w:val="003813C9"/>
    <w:rsid w:val="003817FB"/>
    <w:rsid w:val="00381812"/>
    <w:rsid w:val="003818C0"/>
    <w:rsid w:val="00382EF8"/>
    <w:rsid w:val="00383028"/>
    <w:rsid w:val="003830A7"/>
    <w:rsid w:val="00383205"/>
    <w:rsid w:val="00383F97"/>
    <w:rsid w:val="0038414B"/>
    <w:rsid w:val="0038440F"/>
    <w:rsid w:val="003845A5"/>
    <w:rsid w:val="00384B04"/>
    <w:rsid w:val="00384C8D"/>
    <w:rsid w:val="00384EA2"/>
    <w:rsid w:val="00384F2D"/>
    <w:rsid w:val="003850A7"/>
    <w:rsid w:val="00385307"/>
    <w:rsid w:val="00385C57"/>
    <w:rsid w:val="00386663"/>
    <w:rsid w:val="003866B2"/>
    <w:rsid w:val="00386923"/>
    <w:rsid w:val="00386DF9"/>
    <w:rsid w:val="00386EEC"/>
    <w:rsid w:val="00386FD0"/>
    <w:rsid w:val="003870D6"/>
    <w:rsid w:val="00387241"/>
    <w:rsid w:val="00387C4D"/>
    <w:rsid w:val="00387CE9"/>
    <w:rsid w:val="003900E1"/>
    <w:rsid w:val="003901E4"/>
    <w:rsid w:val="003907A9"/>
    <w:rsid w:val="00390899"/>
    <w:rsid w:val="003908C9"/>
    <w:rsid w:val="00390E8B"/>
    <w:rsid w:val="00391389"/>
    <w:rsid w:val="003918ED"/>
    <w:rsid w:val="003919FC"/>
    <w:rsid w:val="00391DB8"/>
    <w:rsid w:val="00391FF9"/>
    <w:rsid w:val="00392562"/>
    <w:rsid w:val="0039257F"/>
    <w:rsid w:val="003927D5"/>
    <w:rsid w:val="003929AF"/>
    <w:rsid w:val="0039355D"/>
    <w:rsid w:val="00393B9A"/>
    <w:rsid w:val="003946F5"/>
    <w:rsid w:val="00394776"/>
    <w:rsid w:val="00394CE4"/>
    <w:rsid w:val="003951AB"/>
    <w:rsid w:val="00395772"/>
    <w:rsid w:val="0039602C"/>
    <w:rsid w:val="003961F8"/>
    <w:rsid w:val="003962AE"/>
    <w:rsid w:val="00396449"/>
    <w:rsid w:val="00396554"/>
    <w:rsid w:val="00396B3B"/>
    <w:rsid w:val="00396FBB"/>
    <w:rsid w:val="00396FC9"/>
    <w:rsid w:val="00397782"/>
    <w:rsid w:val="00397C8D"/>
    <w:rsid w:val="00397FCF"/>
    <w:rsid w:val="003A071A"/>
    <w:rsid w:val="003A0730"/>
    <w:rsid w:val="003A0ED0"/>
    <w:rsid w:val="003A11AF"/>
    <w:rsid w:val="003A1926"/>
    <w:rsid w:val="003A29D4"/>
    <w:rsid w:val="003A2FE2"/>
    <w:rsid w:val="003A382C"/>
    <w:rsid w:val="003A39C2"/>
    <w:rsid w:val="003A440A"/>
    <w:rsid w:val="003A4605"/>
    <w:rsid w:val="003A46AD"/>
    <w:rsid w:val="003A5901"/>
    <w:rsid w:val="003A59C3"/>
    <w:rsid w:val="003A5A92"/>
    <w:rsid w:val="003A663F"/>
    <w:rsid w:val="003A684C"/>
    <w:rsid w:val="003A6C59"/>
    <w:rsid w:val="003A6D49"/>
    <w:rsid w:val="003A6E90"/>
    <w:rsid w:val="003A74E4"/>
    <w:rsid w:val="003A7912"/>
    <w:rsid w:val="003A7A58"/>
    <w:rsid w:val="003B0277"/>
    <w:rsid w:val="003B0333"/>
    <w:rsid w:val="003B0512"/>
    <w:rsid w:val="003B10D4"/>
    <w:rsid w:val="003B1340"/>
    <w:rsid w:val="003B2293"/>
    <w:rsid w:val="003B240B"/>
    <w:rsid w:val="003B2F8E"/>
    <w:rsid w:val="003B33C2"/>
    <w:rsid w:val="003B37FA"/>
    <w:rsid w:val="003B3BD8"/>
    <w:rsid w:val="003B3D9E"/>
    <w:rsid w:val="003B4FFC"/>
    <w:rsid w:val="003B54C6"/>
    <w:rsid w:val="003B5B07"/>
    <w:rsid w:val="003B62F7"/>
    <w:rsid w:val="003B6EB8"/>
    <w:rsid w:val="003B774B"/>
    <w:rsid w:val="003B794F"/>
    <w:rsid w:val="003B7B65"/>
    <w:rsid w:val="003C01A5"/>
    <w:rsid w:val="003C06F0"/>
    <w:rsid w:val="003C0DCF"/>
    <w:rsid w:val="003C0E78"/>
    <w:rsid w:val="003C14A3"/>
    <w:rsid w:val="003C16C8"/>
    <w:rsid w:val="003C2A40"/>
    <w:rsid w:val="003C3688"/>
    <w:rsid w:val="003C39FB"/>
    <w:rsid w:val="003C467F"/>
    <w:rsid w:val="003C4729"/>
    <w:rsid w:val="003C4753"/>
    <w:rsid w:val="003C50F2"/>
    <w:rsid w:val="003C59CE"/>
    <w:rsid w:val="003C59D0"/>
    <w:rsid w:val="003C60DD"/>
    <w:rsid w:val="003C696B"/>
    <w:rsid w:val="003C73FA"/>
    <w:rsid w:val="003C79A2"/>
    <w:rsid w:val="003C7D6E"/>
    <w:rsid w:val="003D01E1"/>
    <w:rsid w:val="003D0650"/>
    <w:rsid w:val="003D0E6E"/>
    <w:rsid w:val="003D0F0D"/>
    <w:rsid w:val="003D0F4A"/>
    <w:rsid w:val="003D1D65"/>
    <w:rsid w:val="003D24A5"/>
    <w:rsid w:val="003D2A51"/>
    <w:rsid w:val="003D33A3"/>
    <w:rsid w:val="003D36DC"/>
    <w:rsid w:val="003D3778"/>
    <w:rsid w:val="003D4D35"/>
    <w:rsid w:val="003D4FBA"/>
    <w:rsid w:val="003D5380"/>
    <w:rsid w:val="003D5643"/>
    <w:rsid w:val="003D614D"/>
    <w:rsid w:val="003D61A3"/>
    <w:rsid w:val="003D6324"/>
    <w:rsid w:val="003D634D"/>
    <w:rsid w:val="003D6D0B"/>
    <w:rsid w:val="003D78B3"/>
    <w:rsid w:val="003E088D"/>
    <w:rsid w:val="003E0EC9"/>
    <w:rsid w:val="003E12BE"/>
    <w:rsid w:val="003E1329"/>
    <w:rsid w:val="003E2C6B"/>
    <w:rsid w:val="003E2EC0"/>
    <w:rsid w:val="003E3D9F"/>
    <w:rsid w:val="003E40A5"/>
    <w:rsid w:val="003E44BB"/>
    <w:rsid w:val="003E4709"/>
    <w:rsid w:val="003E47AC"/>
    <w:rsid w:val="003E5694"/>
    <w:rsid w:val="003E5F8D"/>
    <w:rsid w:val="003E6047"/>
    <w:rsid w:val="003E657A"/>
    <w:rsid w:val="003E6992"/>
    <w:rsid w:val="003E6F70"/>
    <w:rsid w:val="003E7190"/>
    <w:rsid w:val="003E72B0"/>
    <w:rsid w:val="003F048B"/>
    <w:rsid w:val="003F0DAF"/>
    <w:rsid w:val="003F1769"/>
    <w:rsid w:val="003F1A32"/>
    <w:rsid w:val="003F1AAC"/>
    <w:rsid w:val="003F1D0E"/>
    <w:rsid w:val="003F1DCC"/>
    <w:rsid w:val="003F207A"/>
    <w:rsid w:val="003F33DC"/>
    <w:rsid w:val="003F3D5F"/>
    <w:rsid w:val="003F3F5E"/>
    <w:rsid w:val="003F4463"/>
    <w:rsid w:val="003F4B3D"/>
    <w:rsid w:val="003F6033"/>
    <w:rsid w:val="003F694C"/>
    <w:rsid w:val="003F6A48"/>
    <w:rsid w:val="003F7915"/>
    <w:rsid w:val="003F7ED3"/>
    <w:rsid w:val="00400184"/>
    <w:rsid w:val="00400708"/>
    <w:rsid w:val="0040148E"/>
    <w:rsid w:val="00401669"/>
    <w:rsid w:val="00402011"/>
    <w:rsid w:val="00402B16"/>
    <w:rsid w:val="00403CBB"/>
    <w:rsid w:val="00403DB6"/>
    <w:rsid w:val="00403EB4"/>
    <w:rsid w:val="0040435D"/>
    <w:rsid w:val="00404585"/>
    <w:rsid w:val="004056C5"/>
    <w:rsid w:val="00405838"/>
    <w:rsid w:val="00405E8C"/>
    <w:rsid w:val="0040628A"/>
    <w:rsid w:val="004065B4"/>
    <w:rsid w:val="00406D08"/>
    <w:rsid w:val="00407016"/>
    <w:rsid w:val="004073FE"/>
    <w:rsid w:val="00410A97"/>
    <w:rsid w:val="00410ADF"/>
    <w:rsid w:val="00410CCD"/>
    <w:rsid w:val="004112AC"/>
    <w:rsid w:val="0041181D"/>
    <w:rsid w:val="00411981"/>
    <w:rsid w:val="004119BD"/>
    <w:rsid w:val="00412211"/>
    <w:rsid w:val="00412955"/>
    <w:rsid w:val="00413EDE"/>
    <w:rsid w:val="00413F7F"/>
    <w:rsid w:val="00414460"/>
    <w:rsid w:val="004146EC"/>
    <w:rsid w:val="00414CA5"/>
    <w:rsid w:val="004151A6"/>
    <w:rsid w:val="0041563E"/>
    <w:rsid w:val="00415745"/>
    <w:rsid w:val="004160C9"/>
    <w:rsid w:val="00416E3D"/>
    <w:rsid w:val="00416F18"/>
    <w:rsid w:val="0041731D"/>
    <w:rsid w:val="0041744B"/>
    <w:rsid w:val="00420216"/>
    <w:rsid w:val="00420394"/>
    <w:rsid w:val="00420C75"/>
    <w:rsid w:val="00421C84"/>
    <w:rsid w:val="004220B8"/>
    <w:rsid w:val="00422417"/>
    <w:rsid w:val="00422526"/>
    <w:rsid w:val="00422B20"/>
    <w:rsid w:val="00422E37"/>
    <w:rsid w:val="00423109"/>
    <w:rsid w:val="0042354C"/>
    <w:rsid w:val="00423573"/>
    <w:rsid w:val="00423F97"/>
    <w:rsid w:val="004240DB"/>
    <w:rsid w:val="0042474B"/>
    <w:rsid w:val="00424B6F"/>
    <w:rsid w:val="00424CF3"/>
    <w:rsid w:val="00425EF3"/>
    <w:rsid w:val="0042653C"/>
    <w:rsid w:val="00426830"/>
    <w:rsid w:val="00426F02"/>
    <w:rsid w:val="004276B1"/>
    <w:rsid w:val="00427731"/>
    <w:rsid w:val="00427936"/>
    <w:rsid w:val="00427C5C"/>
    <w:rsid w:val="0043018B"/>
    <w:rsid w:val="004306E7"/>
    <w:rsid w:val="00430726"/>
    <w:rsid w:val="00430996"/>
    <w:rsid w:val="004312E1"/>
    <w:rsid w:val="004313CD"/>
    <w:rsid w:val="004319B5"/>
    <w:rsid w:val="00431B4B"/>
    <w:rsid w:val="00431CDB"/>
    <w:rsid w:val="00431DD2"/>
    <w:rsid w:val="00431E09"/>
    <w:rsid w:val="00432054"/>
    <w:rsid w:val="00433038"/>
    <w:rsid w:val="0043338C"/>
    <w:rsid w:val="00433519"/>
    <w:rsid w:val="00433DF8"/>
    <w:rsid w:val="00434250"/>
    <w:rsid w:val="0043469F"/>
    <w:rsid w:val="00434AA6"/>
    <w:rsid w:val="004353FA"/>
    <w:rsid w:val="004360C5"/>
    <w:rsid w:val="00436B7E"/>
    <w:rsid w:val="00436EA7"/>
    <w:rsid w:val="00437029"/>
    <w:rsid w:val="004371F6"/>
    <w:rsid w:val="00437383"/>
    <w:rsid w:val="00440128"/>
    <w:rsid w:val="004402D0"/>
    <w:rsid w:val="004407B9"/>
    <w:rsid w:val="00440DB9"/>
    <w:rsid w:val="00441815"/>
    <w:rsid w:val="00441C26"/>
    <w:rsid w:val="00441C5A"/>
    <w:rsid w:val="0044215C"/>
    <w:rsid w:val="00442CF8"/>
    <w:rsid w:val="00442F86"/>
    <w:rsid w:val="00443312"/>
    <w:rsid w:val="004433EC"/>
    <w:rsid w:val="00443630"/>
    <w:rsid w:val="0044385C"/>
    <w:rsid w:val="00443F59"/>
    <w:rsid w:val="0044407F"/>
    <w:rsid w:val="00444547"/>
    <w:rsid w:val="004449CF"/>
    <w:rsid w:val="00444B47"/>
    <w:rsid w:val="00445138"/>
    <w:rsid w:val="00445CE8"/>
    <w:rsid w:val="004466C0"/>
    <w:rsid w:val="00446755"/>
    <w:rsid w:val="00446CCE"/>
    <w:rsid w:val="0044748B"/>
    <w:rsid w:val="00450ED4"/>
    <w:rsid w:val="00450EF0"/>
    <w:rsid w:val="0045125A"/>
    <w:rsid w:val="00452279"/>
    <w:rsid w:val="00452376"/>
    <w:rsid w:val="00452377"/>
    <w:rsid w:val="004526E7"/>
    <w:rsid w:val="00452EF6"/>
    <w:rsid w:val="00453762"/>
    <w:rsid w:val="0045486F"/>
    <w:rsid w:val="0045493D"/>
    <w:rsid w:val="00454AD3"/>
    <w:rsid w:val="00454B4A"/>
    <w:rsid w:val="00454BFE"/>
    <w:rsid w:val="00454D12"/>
    <w:rsid w:val="00454F7C"/>
    <w:rsid w:val="00455151"/>
    <w:rsid w:val="0045530A"/>
    <w:rsid w:val="0045543A"/>
    <w:rsid w:val="004554D3"/>
    <w:rsid w:val="004555A6"/>
    <w:rsid w:val="00455A9B"/>
    <w:rsid w:val="00455E96"/>
    <w:rsid w:val="00455F99"/>
    <w:rsid w:val="0045624C"/>
    <w:rsid w:val="004567F0"/>
    <w:rsid w:val="00456C80"/>
    <w:rsid w:val="00456D8E"/>
    <w:rsid w:val="00456F9B"/>
    <w:rsid w:val="004574CD"/>
    <w:rsid w:val="00457A3D"/>
    <w:rsid w:val="0046033C"/>
    <w:rsid w:val="00460F4B"/>
    <w:rsid w:val="004615AC"/>
    <w:rsid w:val="00461AC9"/>
    <w:rsid w:val="004628BB"/>
    <w:rsid w:val="004632C6"/>
    <w:rsid w:val="00463500"/>
    <w:rsid w:val="0046356B"/>
    <w:rsid w:val="00463883"/>
    <w:rsid w:val="00463AB1"/>
    <w:rsid w:val="00464706"/>
    <w:rsid w:val="0046574F"/>
    <w:rsid w:val="00466141"/>
    <w:rsid w:val="0046790C"/>
    <w:rsid w:val="00467EA6"/>
    <w:rsid w:val="00467F1A"/>
    <w:rsid w:val="00470135"/>
    <w:rsid w:val="004704E1"/>
    <w:rsid w:val="00471205"/>
    <w:rsid w:val="0047126E"/>
    <w:rsid w:val="004716C6"/>
    <w:rsid w:val="00471D7E"/>
    <w:rsid w:val="0047211F"/>
    <w:rsid w:val="00472C10"/>
    <w:rsid w:val="00473655"/>
    <w:rsid w:val="004736AE"/>
    <w:rsid w:val="00473BB3"/>
    <w:rsid w:val="00473D07"/>
    <w:rsid w:val="00473E45"/>
    <w:rsid w:val="0047442A"/>
    <w:rsid w:val="00474544"/>
    <w:rsid w:val="004745B6"/>
    <w:rsid w:val="00474C62"/>
    <w:rsid w:val="00475097"/>
    <w:rsid w:val="00475818"/>
    <w:rsid w:val="00475956"/>
    <w:rsid w:val="00475DF6"/>
    <w:rsid w:val="00476787"/>
    <w:rsid w:val="004767A5"/>
    <w:rsid w:val="004776A7"/>
    <w:rsid w:val="004779D4"/>
    <w:rsid w:val="00477F0B"/>
    <w:rsid w:val="00480B5B"/>
    <w:rsid w:val="00480C1B"/>
    <w:rsid w:val="00480CFA"/>
    <w:rsid w:val="00480D51"/>
    <w:rsid w:val="00480F03"/>
    <w:rsid w:val="0048200E"/>
    <w:rsid w:val="004823BD"/>
    <w:rsid w:val="00482491"/>
    <w:rsid w:val="00482847"/>
    <w:rsid w:val="00483888"/>
    <w:rsid w:val="00483988"/>
    <w:rsid w:val="00483AF0"/>
    <w:rsid w:val="00483F7C"/>
    <w:rsid w:val="00484643"/>
    <w:rsid w:val="00484826"/>
    <w:rsid w:val="00484BD9"/>
    <w:rsid w:val="00484CFD"/>
    <w:rsid w:val="004853A8"/>
    <w:rsid w:val="00485425"/>
    <w:rsid w:val="0048601B"/>
    <w:rsid w:val="00486969"/>
    <w:rsid w:val="00486E50"/>
    <w:rsid w:val="00487428"/>
    <w:rsid w:val="0048776A"/>
    <w:rsid w:val="0048797E"/>
    <w:rsid w:val="00487A8D"/>
    <w:rsid w:val="00487D11"/>
    <w:rsid w:val="00487D4E"/>
    <w:rsid w:val="0049094B"/>
    <w:rsid w:val="00490A7D"/>
    <w:rsid w:val="00490D07"/>
    <w:rsid w:val="00490EA3"/>
    <w:rsid w:val="004917DE"/>
    <w:rsid w:val="00491B41"/>
    <w:rsid w:val="00492461"/>
    <w:rsid w:val="004924CC"/>
    <w:rsid w:val="004927FC"/>
    <w:rsid w:val="0049383E"/>
    <w:rsid w:val="00493EAE"/>
    <w:rsid w:val="00493F95"/>
    <w:rsid w:val="00494FEF"/>
    <w:rsid w:val="00495009"/>
    <w:rsid w:val="00495037"/>
    <w:rsid w:val="004955F5"/>
    <w:rsid w:val="00495DFE"/>
    <w:rsid w:val="004965E4"/>
    <w:rsid w:val="004974E5"/>
    <w:rsid w:val="00497637"/>
    <w:rsid w:val="004977FC"/>
    <w:rsid w:val="00497862"/>
    <w:rsid w:val="00497F41"/>
    <w:rsid w:val="00497FAF"/>
    <w:rsid w:val="004A01F0"/>
    <w:rsid w:val="004A06E2"/>
    <w:rsid w:val="004A0ADA"/>
    <w:rsid w:val="004A1148"/>
    <w:rsid w:val="004A1860"/>
    <w:rsid w:val="004A1FF0"/>
    <w:rsid w:val="004A24C9"/>
    <w:rsid w:val="004A2BA0"/>
    <w:rsid w:val="004A2CFD"/>
    <w:rsid w:val="004A3207"/>
    <w:rsid w:val="004A389D"/>
    <w:rsid w:val="004A3CE5"/>
    <w:rsid w:val="004A422B"/>
    <w:rsid w:val="004A4B1B"/>
    <w:rsid w:val="004A4BB3"/>
    <w:rsid w:val="004A4F91"/>
    <w:rsid w:val="004A54C8"/>
    <w:rsid w:val="004A55A0"/>
    <w:rsid w:val="004A5784"/>
    <w:rsid w:val="004A6635"/>
    <w:rsid w:val="004A67E3"/>
    <w:rsid w:val="004A6A70"/>
    <w:rsid w:val="004A6C67"/>
    <w:rsid w:val="004A73A1"/>
    <w:rsid w:val="004A7508"/>
    <w:rsid w:val="004A7516"/>
    <w:rsid w:val="004A7AD5"/>
    <w:rsid w:val="004A7B7F"/>
    <w:rsid w:val="004A7F2D"/>
    <w:rsid w:val="004B01DF"/>
    <w:rsid w:val="004B07EC"/>
    <w:rsid w:val="004B1110"/>
    <w:rsid w:val="004B1D03"/>
    <w:rsid w:val="004B1D9F"/>
    <w:rsid w:val="004B1DD0"/>
    <w:rsid w:val="004B1E08"/>
    <w:rsid w:val="004B21C3"/>
    <w:rsid w:val="004B3CC1"/>
    <w:rsid w:val="004B409E"/>
    <w:rsid w:val="004B4587"/>
    <w:rsid w:val="004B4E09"/>
    <w:rsid w:val="004B50EF"/>
    <w:rsid w:val="004B51EA"/>
    <w:rsid w:val="004B5812"/>
    <w:rsid w:val="004B5C89"/>
    <w:rsid w:val="004B7551"/>
    <w:rsid w:val="004B79A3"/>
    <w:rsid w:val="004B7AC5"/>
    <w:rsid w:val="004B7B38"/>
    <w:rsid w:val="004C01FB"/>
    <w:rsid w:val="004C0343"/>
    <w:rsid w:val="004C0653"/>
    <w:rsid w:val="004C15A6"/>
    <w:rsid w:val="004C16A8"/>
    <w:rsid w:val="004C1B52"/>
    <w:rsid w:val="004C2047"/>
    <w:rsid w:val="004C27FE"/>
    <w:rsid w:val="004C2A4B"/>
    <w:rsid w:val="004C2FC4"/>
    <w:rsid w:val="004C36BE"/>
    <w:rsid w:val="004C3AD8"/>
    <w:rsid w:val="004C3C24"/>
    <w:rsid w:val="004C42CF"/>
    <w:rsid w:val="004C473C"/>
    <w:rsid w:val="004C530A"/>
    <w:rsid w:val="004C5727"/>
    <w:rsid w:val="004C5BB7"/>
    <w:rsid w:val="004C600E"/>
    <w:rsid w:val="004C603C"/>
    <w:rsid w:val="004C6131"/>
    <w:rsid w:val="004C6B17"/>
    <w:rsid w:val="004C6D63"/>
    <w:rsid w:val="004C77CA"/>
    <w:rsid w:val="004C7BA7"/>
    <w:rsid w:val="004D07E3"/>
    <w:rsid w:val="004D0CF2"/>
    <w:rsid w:val="004D1FA7"/>
    <w:rsid w:val="004D307E"/>
    <w:rsid w:val="004D4BE7"/>
    <w:rsid w:val="004D4F12"/>
    <w:rsid w:val="004D506B"/>
    <w:rsid w:val="004D63F6"/>
    <w:rsid w:val="004D69DF"/>
    <w:rsid w:val="004D6E56"/>
    <w:rsid w:val="004D734F"/>
    <w:rsid w:val="004D7659"/>
    <w:rsid w:val="004D7B92"/>
    <w:rsid w:val="004D7E76"/>
    <w:rsid w:val="004D7E7B"/>
    <w:rsid w:val="004E06F8"/>
    <w:rsid w:val="004E06FB"/>
    <w:rsid w:val="004E07F5"/>
    <w:rsid w:val="004E09FC"/>
    <w:rsid w:val="004E0A99"/>
    <w:rsid w:val="004E2211"/>
    <w:rsid w:val="004E2B21"/>
    <w:rsid w:val="004E2C13"/>
    <w:rsid w:val="004E30A0"/>
    <w:rsid w:val="004E3451"/>
    <w:rsid w:val="004E3A84"/>
    <w:rsid w:val="004E3B83"/>
    <w:rsid w:val="004E4504"/>
    <w:rsid w:val="004E4D04"/>
    <w:rsid w:val="004E4F52"/>
    <w:rsid w:val="004E512B"/>
    <w:rsid w:val="004E531E"/>
    <w:rsid w:val="004E53E0"/>
    <w:rsid w:val="004E59D3"/>
    <w:rsid w:val="004E5D52"/>
    <w:rsid w:val="004E5F44"/>
    <w:rsid w:val="004E64FC"/>
    <w:rsid w:val="004E6BA6"/>
    <w:rsid w:val="004E6FB6"/>
    <w:rsid w:val="004E77AC"/>
    <w:rsid w:val="004E79FF"/>
    <w:rsid w:val="004F00B3"/>
    <w:rsid w:val="004F0135"/>
    <w:rsid w:val="004F05BD"/>
    <w:rsid w:val="004F1199"/>
    <w:rsid w:val="004F181A"/>
    <w:rsid w:val="004F192C"/>
    <w:rsid w:val="004F1C48"/>
    <w:rsid w:val="004F275C"/>
    <w:rsid w:val="004F2A85"/>
    <w:rsid w:val="004F2BC3"/>
    <w:rsid w:val="004F3E6C"/>
    <w:rsid w:val="004F4568"/>
    <w:rsid w:val="004F4BEA"/>
    <w:rsid w:val="004F4F67"/>
    <w:rsid w:val="004F5473"/>
    <w:rsid w:val="004F56EE"/>
    <w:rsid w:val="004F5901"/>
    <w:rsid w:val="004F5A3D"/>
    <w:rsid w:val="004F5C25"/>
    <w:rsid w:val="004F5FD9"/>
    <w:rsid w:val="004F6278"/>
    <w:rsid w:val="004F6BE0"/>
    <w:rsid w:val="004F6C80"/>
    <w:rsid w:val="004F7614"/>
    <w:rsid w:val="004F7F55"/>
    <w:rsid w:val="004F7FC0"/>
    <w:rsid w:val="005003C9"/>
    <w:rsid w:val="00500C91"/>
    <w:rsid w:val="00501E2A"/>
    <w:rsid w:val="00502108"/>
    <w:rsid w:val="00502C21"/>
    <w:rsid w:val="00502E11"/>
    <w:rsid w:val="00502FBA"/>
    <w:rsid w:val="0050322D"/>
    <w:rsid w:val="00503B25"/>
    <w:rsid w:val="00503B49"/>
    <w:rsid w:val="00503B97"/>
    <w:rsid w:val="00504501"/>
    <w:rsid w:val="00504751"/>
    <w:rsid w:val="0050498E"/>
    <w:rsid w:val="00504DF1"/>
    <w:rsid w:val="0050569A"/>
    <w:rsid w:val="00505A91"/>
    <w:rsid w:val="00505BE5"/>
    <w:rsid w:val="00505F1C"/>
    <w:rsid w:val="00506449"/>
    <w:rsid w:val="00506C98"/>
    <w:rsid w:val="00506F09"/>
    <w:rsid w:val="00507B92"/>
    <w:rsid w:val="00507D88"/>
    <w:rsid w:val="00507E81"/>
    <w:rsid w:val="00510BB5"/>
    <w:rsid w:val="00511581"/>
    <w:rsid w:val="005116DF"/>
    <w:rsid w:val="00511777"/>
    <w:rsid w:val="005118A7"/>
    <w:rsid w:val="00511CCD"/>
    <w:rsid w:val="00512A17"/>
    <w:rsid w:val="00512AF3"/>
    <w:rsid w:val="00513173"/>
    <w:rsid w:val="005131DD"/>
    <w:rsid w:val="005143D6"/>
    <w:rsid w:val="00514883"/>
    <w:rsid w:val="00514964"/>
    <w:rsid w:val="00514CE7"/>
    <w:rsid w:val="00514D54"/>
    <w:rsid w:val="00515270"/>
    <w:rsid w:val="00515380"/>
    <w:rsid w:val="0051567B"/>
    <w:rsid w:val="005158C5"/>
    <w:rsid w:val="00515B15"/>
    <w:rsid w:val="00515EF8"/>
    <w:rsid w:val="00515FF1"/>
    <w:rsid w:val="0051607B"/>
    <w:rsid w:val="00516E3F"/>
    <w:rsid w:val="005171C2"/>
    <w:rsid w:val="0051794B"/>
    <w:rsid w:val="005202A7"/>
    <w:rsid w:val="00520675"/>
    <w:rsid w:val="0052080D"/>
    <w:rsid w:val="005209A3"/>
    <w:rsid w:val="00520A88"/>
    <w:rsid w:val="00520FDE"/>
    <w:rsid w:val="00521225"/>
    <w:rsid w:val="00521330"/>
    <w:rsid w:val="005214C6"/>
    <w:rsid w:val="00521D75"/>
    <w:rsid w:val="005226F9"/>
    <w:rsid w:val="005227A2"/>
    <w:rsid w:val="00524A92"/>
    <w:rsid w:val="00524FC0"/>
    <w:rsid w:val="0052519C"/>
    <w:rsid w:val="00525498"/>
    <w:rsid w:val="005265FA"/>
    <w:rsid w:val="005268E6"/>
    <w:rsid w:val="00526A9F"/>
    <w:rsid w:val="00526C49"/>
    <w:rsid w:val="00526CEA"/>
    <w:rsid w:val="005273C5"/>
    <w:rsid w:val="0052741B"/>
    <w:rsid w:val="005276C5"/>
    <w:rsid w:val="005276E7"/>
    <w:rsid w:val="005279AB"/>
    <w:rsid w:val="00527B40"/>
    <w:rsid w:val="0053185D"/>
    <w:rsid w:val="00531B4C"/>
    <w:rsid w:val="00532D1E"/>
    <w:rsid w:val="00533296"/>
    <w:rsid w:val="00534131"/>
    <w:rsid w:val="005357C9"/>
    <w:rsid w:val="0053605B"/>
    <w:rsid w:val="00536306"/>
    <w:rsid w:val="00536381"/>
    <w:rsid w:val="00536EA1"/>
    <w:rsid w:val="00537653"/>
    <w:rsid w:val="00537771"/>
    <w:rsid w:val="00537ED8"/>
    <w:rsid w:val="00537EFF"/>
    <w:rsid w:val="005404AC"/>
    <w:rsid w:val="005407E5"/>
    <w:rsid w:val="00540FA0"/>
    <w:rsid w:val="005413C9"/>
    <w:rsid w:val="00541EBB"/>
    <w:rsid w:val="005425E1"/>
    <w:rsid w:val="00542ED2"/>
    <w:rsid w:val="00542ED3"/>
    <w:rsid w:val="005435B9"/>
    <w:rsid w:val="005438B1"/>
    <w:rsid w:val="00543F01"/>
    <w:rsid w:val="00543FFC"/>
    <w:rsid w:val="00544304"/>
    <w:rsid w:val="0054457E"/>
    <w:rsid w:val="00544752"/>
    <w:rsid w:val="00544861"/>
    <w:rsid w:val="00544A0E"/>
    <w:rsid w:val="00544EBB"/>
    <w:rsid w:val="005453ED"/>
    <w:rsid w:val="00545579"/>
    <w:rsid w:val="005458B1"/>
    <w:rsid w:val="00545E23"/>
    <w:rsid w:val="00546F50"/>
    <w:rsid w:val="00546FBC"/>
    <w:rsid w:val="005479B9"/>
    <w:rsid w:val="00547AC0"/>
    <w:rsid w:val="0055055B"/>
    <w:rsid w:val="00550706"/>
    <w:rsid w:val="00550F20"/>
    <w:rsid w:val="00550FE7"/>
    <w:rsid w:val="005510FB"/>
    <w:rsid w:val="00551402"/>
    <w:rsid w:val="00551903"/>
    <w:rsid w:val="0055194B"/>
    <w:rsid w:val="005529D8"/>
    <w:rsid w:val="00552A38"/>
    <w:rsid w:val="005540F8"/>
    <w:rsid w:val="00554C04"/>
    <w:rsid w:val="00554EA3"/>
    <w:rsid w:val="00554F59"/>
    <w:rsid w:val="00555788"/>
    <w:rsid w:val="005560CA"/>
    <w:rsid w:val="00556409"/>
    <w:rsid w:val="00556807"/>
    <w:rsid w:val="0055692A"/>
    <w:rsid w:val="005576DF"/>
    <w:rsid w:val="00557874"/>
    <w:rsid w:val="00557DDE"/>
    <w:rsid w:val="0056000C"/>
    <w:rsid w:val="00560C60"/>
    <w:rsid w:val="00560C82"/>
    <w:rsid w:val="00560E95"/>
    <w:rsid w:val="00561323"/>
    <w:rsid w:val="005616AF"/>
    <w:rsid w:val="0056197B"/>
    <w:rsid w:val="00561E1C"/>
    <w:rsid w:val="00561EE8"/>
    <w:rsid w:val="00562138"/>
    <w:rsid w:val="00562389"/>
    <w:rsid w:val="00562457"/>
    <w:rsid w:val="00562845"/>
    <w:rsid w:val="00562BFB"/>
    <w:rsid w:val="00563352"/>
    <w:rsid w:val="005639BE"/>
    <w:rsid w:val="00563A6E"/>
    <w:rsid w:val="00563CD7"/>
    <w:rsid w:val="00563DAB"/>
    <w:rsid w:val="005640BF"/>
    <w:rsid w:val="005641FC"/>
    <w:rsid w:val="005643DC"/>
    <w:rsid w:val="00565D77"/>
    <w:rsid w:val="0056616F"/>
    <w:rsid w:val="00566E5C"/>
    <w:rsid w:val="00567564"/>
    <w:rsid w:val="00567CE7"/>
    <w:rsid w:val="0057094E"/>
    <w:rsid w:val="00570E3D"/>
    <w:rsid w:val="00571857"/>
    <w:rsid w:val="00571933"/>
    <w:rsid w:val="00571D6E"/>
    <w:rsid w:val="00571E1D"/>
    <w:rsid w:val="00572E1D"/>
    <w:rsid w:val="00572F5B"/>
    <w:rsid w:val="005731FA"/>
    <w:rsid w:val="00573D3C"/>
    <w:rsid w:val="00574290"/>
    <w:rsid w:val="0057436E"/>
    <w:rsid w:val="005749E6"/>
    <w:rsid w:val="00574F78"/>
    <w:rsid w:val="00575150"/>
    <w:rsid w:val="00575AA8"/>
    <w:rsid w:val="00575C51"/>
    <w:rsid w:val="005763AC"/>
    <w:rsid w:val="0057660B"/>
    <w:rsid w:val="00576F11"/>
    <w:rsid w:val="00577481"/>
    <w:rsid w:val="0057759E"/>
    <w:rsid w:val="00577798"/>
    <w:rsid w:val="00577D58"/>
    <w:rsid w:val="00577E29"/>
    <w:rsid w:val="00580387"/>
    <w:rsid w:val="0058050B"/>
    <w:rsid w:val="00580522"/>
    <w:rsid w:val="0058078F"/>
    <w:rsid w:val="00581499"/>
    <w:rsid w:val="00581819"/>
    <w:rsid w:val="005819C7"/>
    <w:rsid w:val="00581A26"/>
    <w:rsid w:val="00581C8C"/>
    <w:rsid w:val="00581E83"/>
    <w:rsid w:val="005821ED"/>
    <w:rsid w:val="00582C8D"/>
    <w:rsid w:val="005837A6"/>
    <w:rsid w:val="00584B29"/>
    <w:rsid w:val="00584BF1"/>
    <w:rsid w:val="005852E8"/>
    <w:rsid w:val="005856DC"/>
    <w:rsid w:val="00585A8A"/>
    <w:rsid w:val="00585D29"/>
    <w:rsid w:val="0058614B"/>
    <w:rsid w:val="005861AF"/>
    <w:rsid w:val="0058670F"/>
    <w:rsid w:val="00586790"/>
    <w:rsid w:val="00587472"/>
    <w:rsid w:val="005877DD"/>
    <w:rsid w:val="005877F7"/>
    <w:rsid w:val="00587CBC"/>
    <w:rsid w:val="0059043D"/>
    <w:rsid w:val="00590D29"/>
    <w:rsid w:val="00590E9D"/>
    <w:rsid w:val="00591025"/>
    <w:rsid w:val="005917AB"/>
    <w:rsid w:val="00591B96"/>
    <w:rsid w:val="00591DD4"/>
    <w:rsid w:val="00591FD7"/>
    <w:rsid w:val="00592657"/>
    <w:rsid w:val="005927F8"/>
    <w:rsid w:val="00593044"/>
    <w:rsid w:val="0059372B"/>
    <w:rsid w:val="005938B3"/>
    <w:rsid w:val="00594055"/>
    <w:rsid w:val="0059453F"/>
    <w:rsid w:val="0059482E"/>
    <w:rsid w:val="0059483F"/>
    <w:rsid w:val="00596B49"/>
    <w:rsid w:val="00596C7D"/>
    <w:rsid w:val="00596CA3"/>
    <w:rsid w:val="00596D8F"/>
    <w:rsid w:val="00596F3E"/>
    <w:rsid w:val="00596FCF"/>
    <w:rsid w:val="00597072"/>
    <w:rsid w:val="005971CA"/>
    <w:rsid w:val="005972F9"/>
    <w:rsid w:val="00597A05"/>
    <w:rsid w:val="00597EDF"/>
    <w:rsid w:val="005A029E"/>
    <w:rsid w:val="005A04C8"/>
    <w:rsid w:val="005A04D1"/>
    <w:rsid w:val="005A0722"/>
    <w:rsid w:val="005A0B7F"/>
    <w:rsid w:val="005A1808"/>
    <w:rsid w:val="005A1B55"/>
    <w:rsid w:val="005A1E4E"/>
    <w:rsid w:val="005A2391"/>
    <w:rsid w:val="005A2D35"/>
    <w:rsid w:val="005A4154"/>
    <w:rsid w:val="005A5572"/>
    <w:rsid w:val="005A6340"/>
    <w:rsid w:val="005A6604"/>
    <w:rsid w:val="005A66D4"/>
    <w:rsid w:val="005A6C65"/>
    <w:rsid w:val="005A7142"/>
    <w:rsid w:val="005A725A"/>
    <w:rsid w:val="005A7613"/>
    <w:rsid w:val="005A772E"/>
    <w:rsid w:val="005A7AC9"/>
    <w:rsid w:val="005A7BAE"/>
    <w:rsid w:val="005A7DBD"/>
    <w:rsid w:val="005A7F31"/>
    <w:rsid w:val="005B0B48"/>
    <w:rsid w:val="005B0C0A"/>
    <w:rsid w:val="005B1629"/>
    <w:rsid w:val="005B17D1"/>
    <w:rsid w:val="005B1AB7"/>
    <w:rsid w:val="005B2087"/>
    <w:rsid w:val="005B272C"/>
    <w:rsid w:val="005B27B9"/>
    <w:rsid w:val="005B2987"/>
    <w:rsid w:val="005B3293"/>
    <w:rsid w:val="005B3355"/>
    <w:rsid w:val="005B37B9"/>
    <w:rsid w:val="005B45D7"/>
    <w:rsid w:val="005B4652"/>
    <w:rsid w:val="005B4E7C"/>
    <w:rsid w:val="005B5820"/>
    <w:rsid w:val="005B6870"/>
    <w:rsid w:val="005B6920"/>
    <w:rsid w:val="005B6E60"/>
    <w:rsid w:val="005B74ED"/>
    <w:rsid w:val="005B7B03"/>
    <w:rsid w:val="005B7BC3"/>
    <w:rsid w:val="005C0086"/>
    <w:rsid w:val="005C01A9"/>
    <w:rsid w:val="005C0C74"/>
    <w:rsid w:val="005C1B72"/>
    <w:rsid w:val="005C2385"/>
    <w:rsid w:val="005C2958"/>
    <w:rsid w:val="005C2A61"/>
    <w:rsid w:val="005C2F34"/>
    <w:rsid w:val="005C3337"/>
    <w:rsid w:val="005C3370"/>
    <w:rsid w:val="005C380A"/>
    <w:rsid w:val="005C3825"/>
    <w:rsid w:val="005C3927"/>
    <w:rsid w:val="005C39C5"/>
    <w:rsid w:val="005C3D2F"/>
    <w:rsid w:val="005C4608"/>
    <w:rsid w:val="005C4C6F"/>
    <w:rsid w:val="005C4DF0"/>
    <w:rsid w:val="005C4EE9"/>
    <w:rsid w:val="005C550C"/>
    <w:rsid w:val="005C5644"/>
    <w:rsid w:val="005C5739"/>
    <w:rsid w:val="005C5F2C"/>
    <w:rsid w:val="005C5FDF"/>
    <w:rsid w:val="005C61AF"/>
    <w:rsid w:val="005C6693"/>
    <w:rsid w:val="005C66F7"/>
    <w:rsid w:val="005C6913"/>
    <w:rsid w:val="005C6DCB"/>
    <w:rsid w:val="005C6FF5"/>
    <w:rsid w:val="005C7E15"/>
    <w:rsid w:val="005C7FA2"/>
    <w:rsid w:val="005D0218"/>
    <w:rsid w:val="005D08D6"/>
    <w:rsid w:val="005D0CF8"/>
    <w:rsid w:val="005D11A4"/>
    <w:rsid w:val="005D1218"/>
    <w:rsid w:val="005D172F"/>
    <w:rsid w:val="005D1EE7"/>
    <w:rsid w:val="005D2CBC"/>
    <w:rsid w:val="005D2E40"/>
    <w:rsid w:val="005D3CCA"/>
    <w:rsid w:val="005D3FF1"/>
    <w:rsid w:val="005D407A"/>
    <w:rsid w:val="005D4F17"/>
    <w:rsid w:val="005D5001"/>
    <w:rsid w:val="005D5857"/>
    <w:rsid w:val="005D594E"/>
    <w:rsid w:val="005D59F3"/>
    <w:rsid w:val="005D5AD7"/>
    <w:rsid w:val="005D5E49"/>
    <w:rsid w:val="005D66BA"/>
    <w:rsid w:val="005D6A3E"/>
    <w:rsid w:val="005D76EE"/>
    <w:rsid w:val="005E073C"/>
    <w:rsid w:val="005E0A14"/>
    <w:rsid w:val="005E153D"/>
    <w:rsid w:val="005E1E40"/>
    <w:rsid w:val="005E21D6"/>
    <w:rsid w:val="005E23DE"/>
    <w:rsid w:val="005E24C7"/>
    <w:rsid w:val="005E297A"/>
    <w:rsid w:val="005E2A35"/>
    <w:rsid w:val="005E2FED"/>
    <w:rsid w:val="005E3F20"/>
    <w:rsid w:val="005E3FB2"/>
    <w:rsid w:val="005E4FDC"/>
    <w:rsid w:val="005E5B77"/>
    <w:rsid w:val="005E5DCD"/>
    <w:rsid w:val="005E5F22"/>
    <w:rsid w:val="005E5FD4"/>
    <w:rsid w:val="005E6160"/>
    <w:rsid w:val="005E6F31"/>
    <w:rsid w:val="005E7B75"/>
    <w:rsid w:val="005E7E3D"/>
    <w:rsid w:val="005F0B11"/>
    <w:rsid w:val="005F13CC"/>
    <w:rsid w:val="005F1473"/>
    <w:rsid w:val="005F1D31"/>
    <w:rsid w:val="005F28AF"/>
    <w:rsid w:val="005F2D00"/>
    <w:rsid w:val="005F2FA2"/>
    <w:rsid w:val="005F3C35"/>
    <w:rsid w:val="005F407B"/>
    <w:rsid w:val="005F441A"/>
    <w:rsid w:val="005F44A5"/>
    <w:rsid w:val="005F4AAA"/>
    <w:rsid w:val="005F4F28"/>
    <w:rsid w:val="005F54B7"/>
    <w:rsid w:val="005F60FE"/>
    <w:rsid w:val="005F6325"/>
    <w:rsid w:val="005F70A4"/>
    <w:rsid w:val="005F70EE"/>
    <w:rsid w:val="005F7162"/>
    <w:rsid w:val="005F71E8"/>
    <w:rsid w:val="005F7303"/>
    <w:rsid w:val="005F7516"/>
    <w:rsid w:val="005F7A8E"/>
    <w:rsid w:val="00600181"/>
    <w:rsid w:val="006009D1"/>
    <w:rsid w:val="00601565"/>
    <w:rsid w:val="00601ED7"/>
    <w:rsid w:val="00601FC0"/>
    <w:rsid w:val="00602611"/>
    <w:rsid w:val="00602F98"/>
    <w:rsid w:val="006031D7"/>
    <w:rsid w:val="00603BEC"/>
    <w:rsid w:val="00604082"/>
    <w:rsid w:val="00604F1E"/>
    <w:rsid w:val="00605125"/>
    <w:rsid w:val="0060515C"/>
    <w:rsid w:val="006052C9"/>
    <w:rsid w:val="00605A06"/>
    <w:rsid w:val="00605B74"/>
    <w:rsid w:val="00605E61"/>
    <w:rsid w:val="00606248"/>
    <w:rsid w:val="00606E87"/>
    <w:rsid w:val="00607B0B"/>
    <w:rsid w:val="00607C1A"/>
    <w:rsid w:val="00610EC1"/>
    <w:rsid w:val="006115A2"/>
    <w:rsid w:val="00611E23"/>
    <w:rsid w:val="006122B3"/>
    <w:rsid w:val="00612592"/>
    <w:rsid w:val="006126D7"/>
    <w:rsid w:val="00612A32"/>
    <w:rsid w:val="00612FD5"/>
    <w:rsid w:val="006135E7"/>
    <w:rsid w:val="00613BB7"/>
    <w:rsid w:val="00614157"/>
    <w:rsid w:val="00614632"/>
    <w:rsid w:val="006147FD"/>
    <w:rsid w:val="006148C1"/>
    <w:rsid w:val="00615484"/>
    <w:rsid w:val="0061548A"/>
    <w:rsid w:val="00615B72"/>
    <w:rsid w:val="0061665F"/>
    <w:rsid w:val="006169BB"/>
    <w:rsid w:val="00616B35"/>
    <w:rsid w:val="00616E73"/>
    <w:rsid w:val="00616E76"/>
    <w:rsid w:val="00616EDF"/>
    <w:rsid w:val="006172E7"/>
    <w:rsid w:val="006173D5"/>
    <w:rsid w:val="00617B02"/>
    <w:rsid w:val="00620013"/>
    <w:rsid w:val="0062017D"/>
    <w:rsid w:val="006215D5"/>
    <w:rsid w:val="00621F9D"/>
    <w:rsid w:val="00622852"/>
    <w:rsid w:val="0062298C"/>
    <w:rsid w:val="0062450F"/>
    <w:rsid w:val="006245BE"/>
    <w:rsid w:val="006249F4"/>
    <w:rsid w:val="00624FE5"/>
    <w:rsid w:val="00625416"/>
    <w:rsid w:val="006257CC"/>
    <w:rsid w:val="00625D38"/>
    <w:rsid w:val="00625F54"/>
    <w:rsid w:val="00626153"/>
    <w:rsid w:val="0062646E"/>
    <w:rsid w:val="00626DEC"/>
    <w:rsid w:val="00627A2A"/>
    <w:rsid w:val="00627B56"/>
    <w:rsid w:val="00627B74"/>
    <w:rsid w:val="00627BBE"/>
    <w:rsid w:val="006309C0"/>
    <w:rsid w:val="00630E61"/>
    <w:rsid w:val="006318CC"/>
    <w:rsid w:val="00632563"/>
    <w:rsid w:val="0063300C"/>
    <w:rsid w:val="00633245"/>
    <w:rsid w:val="0063351D"/>
    <w:rsid w:val="0063386A"/>
    <w:rsid w:val="00633A1F"/>
    <w:rsid w:val="00633F6E"/>
    <w:rsid w:val="006344A0"/>
    <w:rsid w:val="006351E9"/>
    <w:rsid w:val="006355F1"/>
    <w:rsid w:val="006360B9"/>
    <w:rsid w:val="00636105"/>
    <w:rsid w:val="006366E3"/>
    <w:rsid w:val="006367A9"/>
    <w:rsid w:val="006369F7"/>
    <w:rsid w:val="00636E0F"/>
    <w:rsid w:val="00636FCF"/>
    <w:rsid w:val="00637048"/>
    <w:rsid w:val="00637D1C"/>
    <w:rsid w:val="00637E76"/>
    <w:rsid w:val="00637EB6"/>
    <w:rsid w:val="00637F9B"/>
    <w:rsid w:val="0064029C"/>
    <w:rsid w:val="00640804"/>
    <w:rsid w:val="00640E8E"/>
    <w:rsid w:val="00641108"/>
    <w:rsid w:val="006413D0"/>
    <w:rsid w:val="006414AA"/>
    <w:rsid w:val="006414CB"/>
    <w:rsid w:val="00641666"/>
    <w:rsid w:val="00641ADF"/>
    <w:rsid w:val="006423D0"/>
    <w:rsid w:val="0064286C"/>
    <w:rsid w:val="006436BE"/>
    <w:rsid w:val="00643C17"/>
    <w:rsid w:val="00643C88"/>
    <w:rsid w:val="00643CB3"/>
    <w:rsid w:val="00644486"/>
    <w:rsid w:val="006449DE"/>
    <w:rsid w:val="00644A90"/>
    <w:rsid w:val="00644C0C"/>
    <w:rsid w:val="00644C21"/>
    <w:rsid w:val="00644E1D"/>
    <w:rsid w:val="0064514C"/>
    <w:rsid w:val="00645888"/>
    <w:rsid w:val="006459C7"/>
    <w:rsid w:val="00645D6C"/>
    <w:rsid w:val="00645F4A"/>
    <w:rsid w:val="00646320"/>
    <w:rsid w:val="00646A68"/>
    <w:rsid w:val="00646E66"/>
    <w:rsid w:val="00647048"/>
    <w:rsid w:val="00647D00"/>
    <w:rsid w:val="00650500"/>
    <w:rsid w:val="0065072E"/>
    <w:rsid w:val="006509E8"/>
    <w:rsid w:val="00650A9B"/>
    <w:rsid w:val="00650DF3"/>
    <w:rsid w:val="00651332"/>
    <w:rsid w:val="00651947"/>
    <w:rsid w:val="00651D06"/>
    <w:rsid w:val="00651D5F"/>
    <w:rsid w:val="0065207A"/>
    <w:rsid w:val="006526F4"/>
    <w:rsid w:val="00652976"/>
    <w:rsid w:val="006534D8"/>
    <w:rsid w:val="00653C6E"/>
    <w:rsid w:val="00653DD8"/>
    <w:rsid w:val="00653E6F"/>
    <w:rsid w:val="006546D2"/>
    <w:rsid w:val="00654865"/>
    <w:rsid w:val="00655466"/>
    <w:rsid w:val="006557F7"/>
    <w:rsid w:val="00655A38"/>
    <w:rsid w:val="00655A62"/>
    <w:rsid w:val="00655AA0"/>
    <w:rsid w:val="00655E72"/>
    <w:rsid w:val="00656554"/>
    <w:rsid w:val="00656676"/>
    <w:rsid w:val="00656747"/>
    <w:rsid w:val="00656A46"/>
    <w:rsid w:val="00657759"/>
    <w:rsid w:val="006577D5"/>
    <w:rsid w:val="00657D82"/>
    <w:rsid w:val="00660C13"/>
    <w:rsid w:val="00660EB3"/>
    <w:rsid w:val="00662B17"/>
    <w:rsid w:val="00663901"/>
    <w:rsid w:val="00663A04"/>
    <w:rsid w:val="00663A4C"/>
    <w:rsid w:val="00663FC3"/>
    <w:rsid w:val="0066423C"/>
    <w:rsid w:val="00664412"/>
    <w:rsid w:val="00664776"/>
    <w:rsid w:val="00665203"/>
    <w:rsid w:val="00665662"/>
    <w:rsid w:val="006657D2"/>
    <w:rsid w:val="00666215"/>
    <w:rsid w:val="006662E3"/>
    <w:rsid w:val="006667E3"/>
    <w:rsid w:val="00666C3E"/>
    <w:rsid w:val="00666DD3"/>
    <w:rsid w:val="0067003D"/>
    <w:rsid w:val="00670847"/>
    <w:rsid w:val="006709AB"/>
    <w:rsid w:val="00671274"/>
    <w:rsid w:val="006714F2"/>
    <w:rsid w:val="006716CD"/>
    <w:rsid w:val="00671ACC"/>
    <w:rsid w:val="006724F1"/>
    <w:rsid w:val="0067277D"/>
    <w:rsid w:val="006727C9"/>
    <w:rsid w:val="00672FF7"/>
    <w:rsid w:val="0067323B"/>
    <w:rsid w:val="00673479"/>
    <w:rsid w:val="006743A1"/>
    <w:rsid w:val="006753E6"/>
    <w:rsid w:val="00675639"/>
    <w:rsid w:val="00675884"/>
    <w:rsid w:val="00675F55"/>
    <w:rsid w:val="006762BA"/>
    <w:rsid w:val="006769D9"/>
    <w:rsid w:val="0067755E"/>
    <w:rsid w:val="00677CA3"/>
    <w:rsid w:val="00680317"/>
    <w:rsid w:val="00681481"/>
    <w:rsid w:val="00681671"/>
    <w:rsid w:val="00681922"/>
    <w:rsid w:val="00681A7C"/>
    <w:rsid w:val="00682418"/>
    <w:rsid w:val="00682448"/>
    <w:rsid w:val="00682922"/>
    <w:rsid w:val="0068346F"/>
    <w:rsid w:val="006846F3"/>
    <w:rsid w:val="00684731"/>
    <w:rsid w:val="00684C3A"/>
    <w:rsid w:val="006856A5"/>
    <w:rsid w:val="00685DBE"/>
    <w:rsid w:val="00686074"/>
    <w:rsid w:val="00686201"/>
    <w:rsid w:val="00686763"/>
    <w:rsid w:val="00686CD2"/>
    <w:rsid w:val="00687002"/>
    <w:rsid w:val="00687D64"/>
    <w:rsid w:val="00687D66"/>
    <w:rsid w:val="0069043A"/>
    <w:rsid w:val="0069115F"/>
    <w:rsid w:val="00691261"/>
    <w:rsid w:val="00691356"/>
    <w:rsid w:val="00691828"/>
    <w:rsid w:val="00691A7D"/>
    <w:rsid w:val="00692067"/>
    <w:rsid w:val="00692AE6"/>
    <w:rsid w:val="00692B30"/>
    <w:rsid w:val="00692C40"/>
    <w:rsid w:val="00692CA1"/>
    <w:rsid w:val="00692E26"/>
    <w:rsid w:val="00692F9C"/>
    <w:rsid w:val="00693327"/>
    <w:rsid w:val="00693712"/>
    <w:rsid w:val="0069437D"/>
    <w:rsid w:val="006945BE"/>
    <w:rsid w:val="00694605"/>
    <w:rsid w:val="00694FC0"/>
    <w:rsid w:val="00695015"/>
    <w:rsid w:val="006957EE"/>
    <w:rsid w:val="00695ED2"/>
    <w:rsid w:val="0069656E"/>
    <w:rsid w:val="00696A8E"/>
    <w:rsid w:val="006A05BF"/>
    <w:rsid w:val="006A061C"/>
    <w:rsid w:val="006A09DD"/>
    <w:rsid w:val="006A11A5"/>
    <w:rsid w:val="006A1506"/>
    <w:rsid w:val="006A1633"/>
    <w:rsid w:val="006A1690"/>
    <w:rsid w:val="006A1EB1"/>
    <w:rsid w:val="006A2A2E"/>
    <w:rsid w:val="006A3073"/>
    <w:rsid w:val="006A38AE"/>
    <w:rsid w:val="006A3A66"/>
    <w:rsid w:val="006A416D"/>
    <w:rsid w:val="006A4421"/>
    <w:rsid w:val="006A470F"/>
    <w:rsid w:val="006A5070"/>
    <w:rsid w:val="006A5278"/>
    <w:rsid w:val="006A548C"/>
    <w:rsid w:val="006A5ABE"/>
    <w:rsid w:val="006A71A2"/>
    <w:rsid w:val="006A742D"/>
    <w:rsid w:val="006B052F"/>
    <w:rsid w:val="006B0848"/>
    <w:rsid w:val="006B0950"/>
    <w:rsid w:val="006B0F4D"/>
    <w:rsid w:val="006B0FC0"/>
    <w:rsid w:val="006B1BE7"/>
    <w:rsid w:val="006B1D16"/>
    <w:rsid w:val="006B1D20"/>
    <w:rsid w:val="006B224C"/>
    <w:rsid w:val="006B2688"/>
    <w:rsid w:val="006B27F6"/>
    <w:rsid w:val="006B2979"/>
    <w:rsid w:val="006B2DAE"/>
    <w:rsid w:val="006B3154"/>
    <w:rsid w:val="006B3612"/>
    <w:rsid w:val="006B3B2E"/>
    <w:rsid w:val="006B3E62"/>
    <w:rsid w:val="006B40AB"/>
    <w:rsid w:val="006B457F"/>
    <w:rsid w:val="006B4701"/>
    <w:rsid w:val="006B47C5"/>
    <w:rsid w:val="006B4F80"/>
    <w:rsid w:val="006B546C"/>
    <w:rsid w:val="006B5628"/>
    <w:rsid w:val="006B63C8"/>
    <w:rsid w:val="006B6482"/>
    <w:rsid w:val="006B65DD"/>
    <w:rsid w:val="006B6E8C"/>
    <w:rsid w:val="006B7ED0"/>
    <w:rsid w:val="006C0A47"/>
    <w:rsid w:val="006C0A5E"/>
    <w:rsid w:val="006C111B"/>
    <w:rsid w:val="006C1418"/>
    <w:rsid w:val="006C141D"/>
    <w:rsid w:val="006C1730"/>
    <w:rsid w:val="006C219B"/>
    <w:rsid w:val="006C23E1"/>
    <w:rsid w:val="006C2732"/>
    <w:rsid w:val="006C2CD7"/>
    <w:rsid w:val="006C35C6"/>
    <w:rsid w:val="006C3DBF"/>
    <w:rsid w:val="006C3E03"/>
    <w:rsid w:val="006C4CC1"/>
    <w:rsid w:val="006C50AD"/>
    <w:rsid w:val="006C5DB2"/>
    <w:rsid w:val="006C5DF4"/>
    <w:rsid w:val="006C6210"/>
    <w:rsid w:val="006C6366"/>
    <w:rsid w:val="006C63E0"/>
    <w:rsid w:val="006C6F9F"/>
    <w:rsid w:val="006C7C46"/>
    <w:rsid w:val="006D07AD"/>
    <w:rsid w:val="006D18D9"/>
    <w:rsid w:val="006D1CAF"/>
    <w:rsid w:val="006D1F6F"/>
    <w:rsid w:val="006D2710"/>
    <w:rsid w:val="006D2C20"/>
    <w:rsid w:val="006D3338"/>
    <w:rsid w:val="006D364F"/>
    <w:rsid w:val="006D3A8A"/>
    <w:rsid w:val="006D4209"/>
    <w:rsid w:val="006D4400"/>
    <w:rsid w:val="006D4408"/>
    <w:rsid w:val="006D4542"/>
    <w:rsid w:val="006D4832"/>
    <w:rsid w:val="006D4937"/>
    <w:rsid w:val="006D4B49"/>
    <w:rsid w:val="006D4CE8"/>
    <w:rsid w:val="006D5290"/>
    <w:rsid w:val="006D53A6"/>
    <w:rsid w:val="006D59E5"/>
    <w:rsid w:val="006D5BC2"/>
    <w:rsid w:val="006D5F8A"/>
    <w:rsid w:val="006D6A18"/>
    <w:rsid w:val="006D73FB"/>
    <w:rsid w:val="006E0005"/>
    <w:rsid w:val="006E0189"/>
    <w:rsid w:val="006E0281"/>
    <w:rsid w:val="006E051C"/>
    <w:rsid w:val="006E0937"/>
    <w:rsid w:val="006E145B"/>
    <w:rsid w:val="006E1528"/>
    <w:rsid w:val="006E1F0D"/>
    <w:rsid w:val="006E2320"/>
    <w:rsid w:val="006E2329"/>
    <w:rsid w:val="006E23A8"/>
    <w:rsid w:val="006E2974"/>
    <w:rsid w:val="006E2A9B"/>
    <w:rsid w:val="006E2F25"/>
    <w:rsid w:val="006E326C"/>
    <w:rsid w:val="006E44A8"/>
    <w:rsid w:val="006E44AE"/>
    <w:rsid w:val="006E4562"/>
    <w:rsid w:val="006E4824"/>
    <w:rsid w:val="006E49A8"/>
    <w:rsid w:val="006E4AF1"/>
    <w:rsid w:val="006E4AF9"/>
    <w:rsid w:val="006E505D"/>
    <w:rsid w:val="006E53BE"/>
    <w:rsid w:val="006E561A"/>
    <w:rsid w:val="006E56E4"/>
    <w:rsid w:val="006E586F"/>
    <w:rsid w:val="006E625D"/>
    <w:rsid w:val="006E6B5F"/>
    <w:rsid w:val="006E74BB"/>
    <w:rsid w:val="006E7917"/>
    <w:rsid w:val="006E7F6D"/>
    <w:rsid w:val="006F04AB"/>
    <w:rsid w:val="006F1FF9"/>
    <w:rsid w:val="006F23B8"/>
    <w:rsid w:val="006F2841"/>
    <w:rsid w:val="006F287A"/>
    <w:rsid w:val="006F2AFE"/>
    <w:rsid w:val="006F424F"/>
    <w:rsid w:val="006F4A84"/>
    <w:rsid w:val="006F564D"/>
    <w:rsid w:val="006F5A8E"/>
    <w:rsid w:val="006F687E"/>
    <w:rsid w:val="006F6D59"/>
    <w:rsid w:val="006F73EA"/>
    <w:rsid w:val="006F760D"/>
    <w:rsid w:val="006F7D27"/>
    <w:rsid w:val="006F7F46"/>
    <w:rsid w:val="00700098"/>
    <w:rsid w:val="007001FE"/>
    <w:rsid w:val="00700343"/>
    <w:rsid w:val="00700516"/>
    <w:rsid w:val="007005C9"/>
    <w:rsid w:val="00700BC0"/>
    <w:rsid w:val="00700DF4"/>
    <w:rsid w:val="00700FE4"/>
    <w:rsid w:val="007011C2"/>
    <w:rsid w:val="00701724"/>
    <w:rsid w:val="00701D13"/>
    <w:rsid w:val="0070200C"/>
    <w:rsid w:val="007021F9"/>
    <w:rsid w:val="00702633"/>
    <w:rsid w:val="007037B7"/>
    <w:rsid w:val="007038B8"/>
    <w:rsid w:val="0070399C"/>
    <w:rsid w:val="00703DBA"/>
    <w:rsid w:val="0070400C"/>
    <w:rsid w:val="007040B7"/>
    <w:rsid w:val="00704173"/>
    <w:rsid w:val="00704523"/>
    <w:rsid w:val="00704797"/>
    <w:rsid w:val="00704A43"/>
    <w:rsid w:val="00704DB2"/>
    <w:rsid w:val="0070555C"/>
    <w:rsid w:val="007061FF"/>
    <w:rsid w:val="00706705"/>
    <w:rsid w:val="00706799"/>
    <w:rsid w:val="00707688"/>
    <w:rsid w:val="00710826"/>
    <w:rsid w:val="00710F69"/>
    <w:rsid w:val="007112F0"/>
    <w:rsid w:val="00711645"/>
    <w:rsid w:val="007119B9"/>
    <w:rsid w:val="00712605"/>
    <w:rsid w:val="007127F4"/>
    <w:rsid w:val="007128B1"/>
    <w:rsid w:val="00712B4D"/>
    <w:rsid w:val="00712FC7"/>
    <w:rsid w:val="0071319C"/>
    <w:rsid w:val="00713779"/>
    <w:rsid w:val="00714089"/>
    <w:rsid w:val="007140DE"/>
    <w:rsid w:val="00714100"/>
    <w:rsid w:val="007146A2"/>
    <w:rsid w:val="0071476D"/>
    <w:rsid w:val="00715426"/>
    <w:rsid w:val="00716594"/>
    <w:rsid w:val="0071664C"/>
    <w:rsid w:val="00716A76"/>
    <w:rsid w:val="00716C73"/>
    <w:rsid w:val="0071763D"/>
    <w:rsid w:val="00717D60"/>
    <w:rsid w:val="00720061"/>
    <w:rsid w:val="00720590"/>
    <w:rsid w:val="00720AC0"/>
    <w:rsid w:val="00720B59"/>
    <w:rsid w:val="00720D19"/>
    <w:rsid w:val="00720DFD"/>
    <w:rsid w:val="007215A0"/>
    <w:rsid w:val="0072241F"/>
    <w:rsid w:val="007224BF"/>
    <w:rsid w:val="007224D6"/>
    <w:rsid w:val="007226C2"/>
    <w:rsid w:val="007226D9"/>
    <w:rsid w:val="007228F4"/>
    <w:rsid w:val="00722971"/>
    <w:rsid w:val="00722E0E"/>
    <w:rsid w:val="007230F9"/>
    <w:rsid w:val="007239C8"/>
    <w:rsid w:val="0072419D"/>
    <w:rsid w:val="0072438C"/>
    <w:rsid w:val="00724745"/>
    <w:rsid w:val="007247D2"/>
    <w:rsid w:val="00724DA3"/>
    <w:rsid w:val="007250B5"/>
    <w:rsid w:val="007251DA"/>
    <w:rsid w:val="007251F5"/>
    <w:rsid w:val="0072538C"/>
    <w:rsid w:val="0072544A"/>
    <w:rsid w:val="00726CE2"/>
    <w:rsid w:val="00727B4C"/>
    <w:rsid w:val="00730068"/>
    <w:rsid w:val="007307D1"/>
    <w:rsid w:val="00730EF5"/>
    <w:rsid w:val="0073182E"/>
    <w:rsid w:val="00732BB4"/>
    <w:rsid w:val="007331BD"/>
    <w:rsid w:val="007331D1"/>
    <w:rsid w:val="0073345F"/>
    <w:rsid w:val="00733484"/>
    <w:rsid w:val="00733878"/>
    <w:rsid w:val="0073435C"/>
    <w:rsid w:val="00734559"/>
    <w:rsid w:val="007355E3"/>
    <w:rsid w:val="00735732"/>
    <w:rsid w:val="0073627F"/>
    <w:rsid w:val="007364FA"/>
    <w:rsid w:val="00736730"/>
    <w:rsid w:val="0073745E"/>
    <w:rsid w:val="00737480"/>
    <w:rsid w:val="00737F04"/>
    <w:rsid w:val="007403F4"/>
    <w:rsid w:val="007405AC"/>
    <w:rsid w:val="00740628"/>
    <w:rsid w:val="00740D44"/>
    <w:rsid w:val="00740F40"/>
    <w:rsid w:val="0074125A"/>
    <w:rsid w:val="0074183C"/>
    <w:rsid w:val="00741EA2"/>
    <w:rsid w:val="0074203D"/>
    <w:rsid w:val="0074210D"/>
    <w:rsid w:val="00742396"/>
    <w:rsid w:val="007430A6"/>
    <w:rsid w:val="0074317C"/>
    <w:rsid w:val="00743753"/>
    <w:rsid w:val="0074375F"/>
    <w:rsid w:val="00743BA7"/>
    <w:rsid w:val="007442E4"/>
    <w:rsid w:val="007446D4"/>
    <w:rsid w:val="0074479D"/>
    <w:rsid w:val="00744D4E"/>
    <w:rsid w:val="007452C7"/>
    <w:rsid w:val="00745E82"/>
    <w:rsid w:val="007465DF"/>
    <w:rsid w:val="00746991"/>
    <w:rsid w:val="00746E3C"/>
    <w:rsid w:val="00746F2A"/>
    <w:rsid w:val="007476F3"/>
    <w:rsid w:val="00747813"/>
    <w:rsid w:val="00747D21"/>
    <w:rsid w:val="007501ED"/>
    <w:rsid w:val="007504C8"/>
    <w:rsid w:val="007505E7"/>
    <w:rsid w:val="00750883"/>
    <w:rsid w:val="007508B5"/>
    <w:rsid w:val="00751148"/>
    <w:rsid w:val="007517E9"/>
    <w:rsid w:val="00751E1F"/>
    <w:rsid w:val="007520CC"/>
    <w:rsid w:val="0075247D"/>
    <w:rsid w:val="007525FC"/>
    <w:rsid w:val="00752788"/>
    <w:rsid w:val="00752D3F"/>
    <w:rsid w:val="007537B0"/>
    <w:rsid w:val="00753D80"/>
    <w:rsid w:val="00753DFA"/>
    <w:rsid w:val="00753F00"/>
    <w:rsid w:val="0075401B"/>
    <w:rsid w:val="007541C1"/>
    <w:rsid w:val="0075432C"/>
    <w:rsid w:val="00754589"/>
    <w:rsid w:val="00754BD6"/>
    <w:rsid w:val="007550FB"/>
    <w:rsid w:val="00755820"/>
    <w:rsid w:val="00755C14"/>
    <w:rsid w:val="00755C3E"/>
    <w:rsid w:val="00756595"/>
    <w:rsid w:val="0075663E"/>
    <w:rsid w:val="00757105"/>
    <w:rsid w:val="007612F1"/>
    <w:rsid w:val="00761473"/>
    <w:rsid w:val="0076211F"/>
    <w:rsid w:val="00764C55"/>
    <w:rsid w:val="00764F3F"/>
    <w:rsid w:val="00765081"/>
    <w:rsid w:val="00765CFF"/>
    <w:rsid w:val="007661B0"/>
    <w:rsid w:val="007662B3"/>
    <w:rsid w:val="007666DB"/>
    <w:rsid w:val="0076692C"/>
    <w:rsid w:val="00766E9B"/>
    <w:rsid w:val="0076708B"/>
    <w:rsid w:val="0076749B"/>
    <w:rsid w:val="00767759"/>
    <w:rsid w:val="00767E40"/>
    <w:rsid w:val="00770149"/>
    <w:rsid w:val="007707AF"/>
    <w:rsid w:val="00770857"/>
    <w:rsid w:val="00770B2B"/>
    <w:rsid w:val="00770F61"/>
    <w:rsid w:val="00770F8B"/>
    <w:rsid w:val="0077130F"/>
    <w:rsid w:val="00771E0B"/>
    <w:rsid w:val="00773601"/>
    <w:rsid w:val="007737C1"/>
    <w:rsid w:val="00773BAF"/>
    <w:rsid w:val="00774522"/>
    <w:rsid w:val="00774B97"/>
    <w:rsid w:val="00775077"/>
    <w:rsid w:val="00775874"/>
    <w:rsid w:val="00775B02"/>
    <w:rsid w:val="00775DE6"/>
    <w:rsid w:val="00775E33"/>
    <w:rsid w:val="00776490"/>
    <w:rsid w:val="0077737F"/>
    <w:rsid w:val="007776D8"/>
    <w:rsid w:val="007801EE"/>
    <w:rsid w:val="007808C1"/>
    <w:rsid w:val="0078099B"/>
    <w:rsid w:val="00780A01"/>
    <w:rsid w:val="00780A6E"/>
    <w:rsid w:val="00780E96"/>
    <w:rsid w:val="007813BB"/>
    <w:rsid w:val="00783792"/>
    <w:rsid w:val="0078385A"/>
    <w:rsid w:val="00783D60"/>
    <w:rsid w:val="00783F94"/>
    <w:rsid w:val="00783FCE"/>
    <w:rsid w:val="007840B6"/>
    <w:rsid w:val="007841C8"/>
    <w:rsid w:val="00784842"/>
    <w:rsid w:val="007848DD"/>
    <w:rsid w:val="00784932"/>
    <w:rsid w:val="00784B1A"/>
    <w:rsid w:val="007850CE"/>
    <w:rsid w:val="0078586E"/>
    <w:rsid w:val="00785E28"/>
    <w:rsid w:val="007861B9"/>
    <w:rsid w:val="0078724C"/>
    <w:rsid w:val="007873CD"/>
    <w:rsid w:val="00787C5F"/>
    <w:rsid w:val="00790D5B"/>
    <w:rsid w:val="007913DB"/>
    <w:rsid w:val="0079173F"/>
    <w:rsid w:val="00791E3F"/>
    <w:rsid w:val="00792B61"/>
    <w:rsid w:val="00792D90"/>
    <w:rsid w:val="0079326B"/>
    <w:rsid w:val="0079382E"/>
    <w:rsid w:val="00793A9F"/>
    <w:rsid w:val="00793AF0"/>
    <w:rsid w:val="00793C56"/>
    <w:rsid w:val="00793DE3"/>
    <w:rsid w:val="0079429E"/>
    <w:rsid w:val="007956FC"/>
    <w:rsid w:val="00795822"/>
    <w:rsid w:val="00795B23"/>
    <w:rsid w:val="00795BFD"/>
    <w:rsid w:val="00795FFA"/>
    <w:rsid w:val="00796217"/>
    <w:rsid w:val="007962C0"/>
    <w:rsid w:val="007966B2"/>
    <w:rsid w:val="007968EA"/>
    <w:rsid w:val="007969BA"/>
    <w:rsid w:val="00796ACC"/>
    <w:rsid w:val="007977EC"/>
    <w:rsid w:val="00797CEF"/>
    <w:rsid w:val="007A0009"/>
    <w:rsid w:val="007A0FA2"/>
    <w:rsid w:val="007A102B"/>
    <w:rsid w:val="007A10EC"/>
    <w:rsid w:val="007A1205"/>
    <w:rsid w:val="007A1302"/>
    <w:rsid w:val="007A16B8"/>
    <w:rsid w:val="007A1D61"/>
    <w:rsid w:val="007A21F3"/>
    <w:rsid w:val="007A2CBB"/>
    <w:rsid w:val="007A39A3"/>
    <w:rsid w:val="007A426C"/>
    <w:rsid w:val="007A4487"/>
    <w:rsid w:val="007A474E"/>
    <w:rsid w:val="007A47A2"/>
    <w:rsid w:val="007A4D49"/>
    <w:rsid w:val="007A5623"/>
    <w:rsid w:val="007A5DAE"/>
    <w:rsid w:val="007A5E37"/>
    <w:rsid w:val="007A6032"/>
    <w:rsid w:val="007A64A8"/>
    <w:rsid w:val="007A6FD0"/>
    <w:rsid w:val="007A799D"/>
    <w:rsid w:val="007A7EF2"/>
    <w:rsid w:val="007A7F62"/>
    <w:rsid w:val="007B0277"/>
    <w:rsid w:val="007B18E0"/>
    <w:rsid w:val="007B1935"/>
    <w:rsid w:val="007B23E2"/>
    <w:rsid w:val="007B28EF"/>
    <w:rsid w:val="007B2EFA"/>
    <w:rsid w:val="007B30FB"/>
    <w:rsid w:val="007B3398"/>
    <w:rsid w:val="007B38F8"/>
    <w:rsid w:val="007B3CA6"/>
    <w:rsid w:val="007B4644"/>
    <w:rsid w:val="007B5635"/>
    <w:rsid w:val="007B56B9"/>
    <w:rsid w:val="007B58A5"/>
    <w:rsid w:val="007B5E5D"/>
    <w:rsid w:val="007B63C5"/>
    <w:rsid w:val="007B6524"/>
    <w:rsid w:val="007B763E"/>
    <w:rsid w:val="007B7670"/>
    <w:rsid w:val="007B7924"/>
    <w:rsid w:val="007B7E08"/>
    <w:rsid w:val="007C17B6"/>
    <w:rsid w:val="007C17EC"/>
    <w:rsid w:val="007C2113"/>
    <w:rsid w:val="007C2343"/>
    <w:rsid w:val="007C25C9"/>
    <w:rsid w:val="007C2A3F"/>
    <w:rsid w:val="007C3F23"/>
    <w:rsid w:val="007C437E"/>
    <w:rsid w:val="007C43EF"/>
    <w:rsid w:val="007C5673"/>
    <w:rsid w:val="007C583A"/>
    <w:rsid w:val="007C5DF0"/>
    <w:rsid w:val="007C6175"/>
    <w:rsid w:val="007C65C6"/>
    <w:rsid w:val="007C65D9"/>
    <w:rsid w:val="007C6625"/>
    <w:rsid w:val="007C7209"/>
    <w:rsid w:val="007C7311"/>
    <w:rsid w:val="007C7413"/>
    <w:rsid w:val="007C7684"/>
    <w:rsid w:val="007C7E1B"/>
    <w:rsid w:val="007D128C"/>
    <w:rsid w:val="007D1CEC"/>
    <w:rsid w:val="007D221E"/>
    <w:rsid w:val="007D2FFF"/>
    <w:rsid w:val="007D301D"/>
    <w:rsid w:val="007D3C94"/>
    <w:rsid w:val="007D3D59"/>
    <w:rsid w:val="007D3F01"/>
    <w:rsid w:val="007D4E78"/>
    <w:rsid w:val="007D518D"/>
    <w:rsid w:val="007D574D"/>
    <w:rsid w:val="007D5DE8"/>
    <w:rsid w:val="007D60DE"/>
    <w:rsid w:val="007D6311"/>
    <w:rsid w:val="007D635E"/>
    <w:rsid w:val="007D6C3A"/>
    <w:rsid w:val="007D6CB1"/>
    <w:rsid w:val="007D6CE5"/>
    <w:rsid w:val="007D7109"/>
    <w:rsid w:val="007D75AA"/>
    <w:rsid w:val="007D76C2"/>
    <w:rsid w:val="007D7E8B"/>
    <w:rsid w:val="007D7E9C"/>
    <w:rsid w:val="007E0163"/>
    <w:rsid w:val="007E017C"/>
    <w:rsid w:val="007E0EC5"/>
    <w:rsid w:val="007E12C8"/>
    <w:rsid w:val="007E1578"/>
    <w:rsid w:val="007E236C"/>
    <w:rsid w:val="007E25F9"/>
    <w:rsid w:val="007E2DE0"/>
    <w:rsid w:val="007E2F51"/>
    <w:rsid w:val="007E3056"/>
    <w:rsid w:val="007E31E0"/>
    <w:rsid w:val="007E32DB"/>
    <w:rsid w:val="007E36F4"/>
    <w:rsid w:val="007E3750"/>
    <w:rsid w:val="007E3833"/>
    <w:rsid w:val="007E3843"/>
    <w:rsid w:val="007E3C1E"/>
    <w:rsid w:val="007E4287"/>
    <w:rsid w:val="007E4873"/>
    <w:rsid w:val="007E4DF2"/>
    <w:rsid w:val="007E5A7B"/>
    <w:rsid w:val="007E5C5A"/>
    <w:rsid w:val="007E60EB"/>
    <w:rsid w:val="007E675F"/>
    <w:rsid w:val="007E6EFC"/>
    <w:rsid w:val="007E719D"/>
    <w:rsid w:val="007F01EE"/>
    <w:rsid w:val="007F032A"/>
    <w:rsid w:val="007F21E7"/>
    <w:rsid w:val="007F282C"/>
    <w:rsid w:val="007F298F"/>
    <w:rsid w:val="007F2EE0"/>
    <w:rsid w:val="007F3A8A"/>
    <w:rsid w:val="007F442F"/>
    <w:rsid w:val="007F45E4"/>
    <w:rsid w:val="007F52AF"/>
    <w:rsid w:val="007F5323"/>
    <w:rsid w:val="007F56BF"/>
    <w:rsid w:val="007F5B25"/>
    <w:rsid w:val="007F6033"/>
    <w:rsid w:val="007F609E"/>
    <w:rsid w:val="007F63A1"/>
    <w:rsid w:val="007F6463"/>
    <w:rsid w:val="007F660C"/>
    <w:rsid w:val="007F6B7D"/>
    <w:rsid w:val="007F717F"/>
    <w:rsid w:val="007F74D4"/>
    <w:rsid w:val="007F78FF"/>
    <w:rsid w:val="007F7BC8"/>
    <w:rsid w:val="008005CF"/>
    <w:rsid w:val="008007D7"/>
    <w:rsid w:val="00800D21"/>
    <w:rsid w:val="00800DA3"/>
    <w:rsid w:val="00801294"/>
    <w:rsid w:val="00801790"/>
    <w:rsid w:val="00801817"/>
    <w:rsid w:val="00801890"/>
    <w:rsid w:val="0080208A"/>
    <w:rsid w:val="0080211F"/>
    <w:rsid w:val="00802144"/>
    <w:rsid w:val="008030C2"/>
    <w:rsid w:val="0080321E"/>
    <w:rsid w:val="0080372A"/>
    <w:rsid w:val="00803DF7"/>
    <w:rsid w:val="00803F76"/>
    <w:rsid w:val="0080423E"/>
    <w:rsid w:val="00804D1B"/>
    <w:rsid w:val="008064BA"/>
    <w:rsid w:val="00806518"/>
    <w:rsid w:val="00807929"/>
    <w:rsid w:val="0081000B"/>
    <w:rsid w:val="0081090F"/>
    <w:rsid w:val="00810951"/>
    <w:rsid w:val="00810B7C"/>
    <w:rsid w:val="00811876"/>
    <w:rsid w:val="00811916"/>
    <w:rsid w:val="00811B58"/>
    <w:rsid w:val="00811D83"/>
    <w:rsid w:val="008132F9"/>
    <w:rsid w:val="00813307"/>
    <w:rsid w:val="00813D99"/>
    <w:rsid w:val="00813FF4"/>
    <w:rsid w:val="00814685"/>
    <w:rsid w:val="00814E81"/>
    <w:rsid w:val="00815DBE"/>
    <w:rsid w:val="0081610D"/>
    <w:rsid w:val="0081627E"/>
    <w:rsid w:val="008162B4"/>
    <w:rsid w:val="00816344"/>
    <w:rsid w:val="008165B4"/>
    <w:rsid w:val="008166EE"/>
    <w:rsid w:val="00816ABB"/>
    <w:rsid w:val="00816AE6"/>
    <w:rsid w:val="00816F25"/>
    <w:rsid w:val="0081757C"/>
    <w:rsid w:val="00817B94"/>
    <w:rsid w:val="00817F74"/>
    <w:rsid w:val="00820897"/>
    <w:rsid w:val="00821093"/>
    <w:rsid w:val="0082118E"/>
    <w:rsid w:val="00821196"/>
    <w:rsid w:val="008214FB"/>
    <w:rsid w:val="0082164E"/>
    <w:rsid w:val="00822876"/>
    <w:rsid w:val="00822A9C"/>
    <w:rsid w:val="00822B02"/>
    <w:rsid w:val="00822C61"/>
    <w:rsid w:val="00822E5D"/>
    <w:rsid w:val="0082322F"/>
    <w:rsid w:val="0082372E"/>
    <w:rsid w:val="00823C2D"/>
    <w:rsid w:val="0082451E"/>
    <w:rsid w:val="008246EC"/>
    <w:rsid w:val="008249AF"/>
    <w:rsid w:val="00825AF4"/>
    <w:rsid w:val="00826447"/>
    <w:rsid w:val="008264F4"/>
    <w:rsid w:val="0082659E"/>
    <w:rsid w:val="00826C2C"/>
    <w:rsid w:val="0082738C"/>
    <w:rsid w:val="0082748A"/>
    <w:rsid w:val="008275BF"/>
    <w:rsid w:val="008279F7"/>
    <w:rsid w:val="008301CF"/>
    <w:rsid w:val="00830806"/>
    <w:rsid w:val="00830945"/>
    <w:rsid w:val="00830F84"/>
    <w:rsid w:val="008310C1"/>
    <w:rsid w:val="00831162"/>
    <w:rsid w:val="00831836"/>
    <w:rsid w:val="008319A2"/>
    <w:rsid w:val="00831B14"/>
    <w:rsid w:val="00831BD6"/>
    <w:rsid w:val="0083225A"/>
    <w:rsid w:val="0083247E"/>
    <w:rsid w:val="0083301A"/>
    <w:rsid w:val="008339C8"/>
    <w:rsid w:val="00833D5C"/>
    <w:rsid w:val="0083452C"/>
    <w:rsid w:val="00834D87"/>
    <w:rsid w:val="00834EBE"/>
    <w:rsid w:val="00835AAF"/>
    <w:rsid w:val="00835D58"/>
    <w:rsid w:val="00835DF7"/>
    <w:rsid w:val="00836351"/>
    <w:rsid w:val="00836AE6"/>
    <w:rsid w:val="00836BEA"/>
    <w:rsid w:val="00837022"/>
    <w:rsid w:val="00837A95"/>
    <w:rsid w:val="00840081"/>
    <w:rsid w:val="00840A5F"/>
    <w:rsid w:val="00841292"/>
    <w:rsid w:val="0084134F"/>
    <w:rsid w:val="0084140E"/>
    <w:rsid w:val="008415A7"/>
    <w:rsid w:val="0084194D"/>
    <w:rsid w:val="00842264"/>
    <w:rsid w:val="008424D6"/>
    <w:rsid w:val="008439F4"/>
    <w:rsid w:val="00843B4E"/>
    <w:rsid w:val="00844025"/>
    <w:rsid w:val="008440A5"/>
    <w:rsid w:val="00844145"/>
    <w:rsid w:val="008447E9"/>
    <w:rsid w:val="008451A5"/>
    <w:rsid w:val="00845C9A"/>
    <w:rsid w:val="008467BD"/>
    <w:rsid w:val="00846FAD"/>
    <w:rsid w:val="00847503"/>
    <w:rsid w:val="0084783B"/>
    <w:rsid w:val="00847AB0"/>
    <w:rsid w:val="00847CAF"/>
    <w:rsid w:val="0085022A"/>
    <w:rsid w:val="00850459"/>
    <w:rsid w:val="0085065F"/>
    <w:rsid w:val="008506CA"/>
    <w:rsid w:val="0085088F"/>
    <w:rsid w:val="00851463"/>
    <w:rsid w:val="00851B75"/>
    <w:rsid w:val="00851E26"/>
    <w:rsid w:val="00851E98"/>
    <w:rsid w:val="008520B8"/>
    <w:rsid w:val="008524EB"/>
    <w:rsid w:val="0085284C"/>
    <w:rsid w:val="0085365C"/>
    <w:rsid w:val="00853BF1"/>
    <w:rsid w:val="0085407C"/>
    <w:rsid w:val="00854141"/>
    <w:rsid w:val="008547C7"/>
    <w:rsid w:val="00854C05"/>
    <w:rsid w:val="00854E27"/>
    <w:rsid w:val="00854FAB"/>
    <w:rsid w:val="00854FF9"/>
    <w:rsid w:val="0085527E"/>
    <w:rsid w:val="00855CCC"/>
    <w:rsid w:val="00855E30"/>
    <w:rsid w:val="00856267"/>
    <w:rsid w:val="00856D42"/>
    <w:rsid w:val="00856F3A"/>
    <w:rsid w:val="0085780C"/>
    <w:rsid w:val="00857B52"/>
    <w:rsid w:val="00857BE2"/>
    <w:rsid w:val="00857E6C"/>
    <w:rsid w:val="008603A6"/>
    <w:rsid w:val="00860B12"/>
    <w:rsid w:val="00860FEE"/>
    <w:rsid w:val="008610F5"/>
    <w:rsid w:val="00861CE6"/>
    <w:rsid w:val="00861EFB"/>
    <w:rsid w:val="008623AC"/>
    <w:rsid w:val="00862503"/>
    <w:rsid w:val="00862908"/>
    <w:rsid w:val="00863071"/>
    <w:rsid w:val="00863839"/>
    <w:rsid w:val="0086449B"/>
    <w:rsid w:val="00865E12"/>
    <w:rsid w:val="00866B8A"/>
    <w:rsid w:val="00866B98"/>
    <w:rsid w:val="008671C0"/>
    <w:rsid w:val="00867255"/>
    <w:rsid w:val="008672D8"/>
    <w:rsid w:val="00867661"/>
    <w:rsid w:val="00867A12"/>
    <w:rsid w:val="008700FE"/>
    <w:rsid w:val="008701B5"/>
    <w:rsid w:val="008704F1"/>
    <w:rsid w:val="00871410"/>
    <w:rsid w:val="0087188F"/>
    <w:rsid w:val="00871980"/>
    <w:rsid w:val="00871D2A"/>
    <w:rsid w:val="0087237C"/>
    <w:rsid w:val="008724FD"/>
    <w:rsid w:val="00872B1D"/>
    <w:rsid w:val="00872BD8"/>
    <w:rsid w:val="00872D81"/>
    <w:rsid w:val="00872DBF"/>
    <w:rsid w:val="008732A9"/>
    <w:rsid w:val="008733BB"/>
    <w:rsid w:val="008736E1"/>
    <w:rsid w:val="0087392E"/>
    <w:rsid w:val="00873D2A"/>
    <w:rsid w:val="00874318"/>
    <w:rsid w:val="00876433"/>
    <w:rsid w:val="00876CC7"/>
    <w:rsid w:val="008771C1"/>
    <w:rsid w:val="00877FD6"/>
    <w:rsid w:val="008800A8"/>
    <w:rsid w:val="00880F91"/>
    <w:rsid w:val="008813C0"/>
    <w:rsid w:val="0088183D"/>
    <w:rsid w:val="00881847"/>
    <w:rsid w:val="00881AFA"/>
    <w:rsid w:val="00882424"/>
    <w:rsid w:val="00882B42"/>
    <w:rsid w:val="0088397A"/>
    <w:rsid w:val="008843BC"/>
    <w:rsid w:val="00884A23"/>
    <w:rsid w:val="00884A7C"/>
    <w:rsid w:val="0088551D"/>
    <w:rsid w:val="00886ACF"/>
    <w:rsid w:val="008872D3"/>
    <w:rsid w:val="008877FF"/>
    <w:rsid w:val="00887844"/>
    <w:rsid w:val="00887FF5"/>
    <w:rsid w:val="00890008"/>
    <w:rsid w:val="0089012C"/>
    <w:rsid w:val="008902A8"/>
    <w:rsid w:val="008904FF"/>
    <w:rsid w:val="0089051B"/>
    <w:rsid w:val="00890C33"/>
    <w:rsid w:val="008913CB"/>
    <w:rsid w:val="008914E0"/>
    <w:rsid w:val="00891973"/>
    <w:rsid w:val="008921F2"/>
    <w:rsid w:val="008925DA"/>
    <w:rsid w:val="00893CF8"/>
    <w:rsid w:val="008940B2"/>
    <w:rsid w:val="00894574"/>
    <w:rsid w:val="00895920"/>
    <w:rsid w:val="00895B52"/>
    <w:rsid w:val="00895BCA"/>
    <w:rsid w:val="008968E9"/>
    <w:rsid w:val="00897155"/>
    <w:rsid w:val="00897FF0"/>
    <w:rsid w:val="008A2370"/>
    <w:rsid w:val="008A520D"/>
    <w:rsid w:val="008A672D"/>
    <w:rsid w:val="008A7658"/>
    <w:rsid w:val="008A7A7D"/>
    <w:rsid w:val="008B0471"/>
    <w:rsid w:val="008B07E2"/>
    <w:rsid w:val="008B09F2"/>
    <w:rsid w:val="008B0C1A"/>
    <w:rsid w:val="008B0C35"/>
    <w:rsid w:val="008B0EBE"/>
    <w:rsid w:val="008B10D8"/>
    <w:rsid w:val="008B15BF"/>
    <w:rsid w:val="008B16AE"/>
    <w:rsid w:val="008B1C47"/>
    <w:rsid w:val="008B25C8"/>
    <w:rsid w:val="008B2841"/>
    <w:rsid w:val="008B2BFF"/>
    <w:rsid w:val="008B2C71"/>
    <w:rsid w:val="008B312E"/>
    <w:rsid w:val="008B33F3"/>
    <w:rsid w:val="008B3637"/>
    <w:rsid w:val="008B3641"/>
    <w:rsid w:val="008B4016"/>
    <w:rsid w:val="008B58A7"/>
    <w:rsid w:val="008B5A42"/>
    <w:rsid w:val="008B5A63"/>
    <w:rsid w:val="008B5B09"/>
    <w:rsid w:val="008B5C72"/>
    <w:rsid w:val="008B6B40"/>
    <w:rsid w:val="008B704F"/>
    <w:rsid w:val="008B731F"/>
    <w:rsid w:val="008B7422"/>
    <w:rsid w:val="008B7B1D"/>
    <w:rsid w:val="008C0644"/>
    <w:rsid w:val="008C0A21"/>
    <w:rsid w:val="008C0C03"/>
    <w:rsid w:val="008C0DA2"/>
    <w:rsid w:val="008C10EC"/>
    <w:rsid w:val="008C1237"/>
    <w:rsid w:val="008C147D"/>
    <w:rsid w:val="008C1631"/>
    <w:rsid w:val="008C1696"/>
    <w:rsid w:val="008C16CC"/>
    <w:rsid w:val="008C1C8F"/>
    <w:rsid w:val="008C1DAE"/>
    <w:rsid w:val="008C20CC"/>
    <w:rsid w:val="008C23D9"/>
    <w:rsid w:val="008C2F8A"/>
    <w:rsid w:val="008C35B1"/>
    <w:rsid w:val="008C36D0"/>
    <w:rsid w:val="008C3814"/>
    <w:rsid w:val="008C40EB"/>
    <w:rsid w:val="008C4188"/>
    <w:rsid w:val="008C4305"/>
    <w:rsid w:val="008C4BC3"/>
    <w:rsid w:val="008C502F"/>
    <w:rsid w:val="008C52FF"/>
    <w:rsid w:val="008C53E6"/>
    <w:rsid w:val="008C560A"/>
    <w:rsid w:val="008C5CE1"/>
    <w:rsid w:val="008C682C"/>
    <w:rsid w:val="008C694D"/>
    <w:rsid w:val="008C7021"/>
    <w:rsid w:val="008C72DD"/>
    <w:rsid w:val="008C7EC1"/>
    <w:rsid w:val="008D113E"/>
    <w:rsid w:val="008D1C4B"/>
    <w:rsid w:val="008D1EA9"/>
    <w:rsid w:val="008D2315"/>
    <w:rsid w:val="008D2AB6"/>
    <w:rsid w:val="008D3A2E"/>
    <w:rsid w:val="008D3A9F"/>
    <w:rsid w:val="008D4E7E"/>
    <w:rsid w:val="008D512F"/>
    <w:rsid w:val="008D5170"/>
    <w:rsid w:val="008D57CA"/>
    <w:rsid w:val="008D65E9"/>
    <w:rsid w:val="008D71BD"/>
    <w:rsid w:val="008D737B"/>
    <w:rsid w:val="008D764A"/>
    <w:rsid w:val="008D788D"/>
    <w:rsid w:val="008E003B"/>
    <w:rsid w:val="008E00FB"/>
    <w:rsid w:val="008E0271"/>
    <w:rsid w:val="008E064F"/>
    <w:rsid w:val="008E091E"/>
    <w:rsid w:val="008E09EF"/>
    <w:rsid w:val="008E0D66"/>
    <w:rsid w:val="008E1B79"/>
    <w:rsid w:val="008E1F56"/>
    <w:rsid w:val="008E21B1"/>
    <w:rsid w:val="008E24E3"/>
    <w:rsid w:val="008E28AB"/>
    <w:rsid w:val="008E3202"/>
    <w:rsid w:val="008E374E"/>
    <w:rsid w:val="008E395D"/>
    <w:rsid w:val="008E39AD"/>
    <w:rsid w:val="008E4A74"/>
    <w:rsid w:val="008E4F64"/>
    <w:rsid w:val="008E5256"/>
    <w:rsid w:val="008E5897"/>
    <w:rsid w:val="008E5A1B"/>
    <w:rsid w:val="008E6D50"/>
    <w:rsid w:val="008E70EA"/>
    <w:rsid w:val="008E7548"/>
    <w:rsid w:val="008E77FF"/>
    <w:rsid w:val="008E7A63"/>
    <w:rsid w:val="008E7D80"/>
    <w:rsid w:val="008F0B4B"/>
    <w:rsid w:val="008F123D"/>
    <w:rsid w:val="008F148A"/>
    <w:rsid w:val="008F183A"/>
    <w:rsid w:val="008F2323"/>
    <w:rsid w:val="008F2334"/>
    <w:rsid w:val="008F2B3A"/>
    <w:rsid w:val="008F2F73"/>
    <w:rsid w:val="008F3521"/>
    <w:rsid w:val="008F35C0"/>
    <w:rsid w:val="008F4081"/>
    <w:rsid w:val="008F4586"/>
    <w:rsid w:val="008F4833"/>
    <w:rsid w:val="008F514E"/>
    <w:rsid w:val="008F533F"/>
    <w:rsid w:val="008F5E95"/>
    <w:rsid w:val="008F641D"/>
    <w:rsid w:val="008F6E54"/>
    <w:rsid w:val="008F737D"/>
    <w:rsid w:val="008F737F"/>
    <w:rsid w:val="008F7392"/>
    <w:rsid w:val="008F73CC"/>
    <w:rsid w:val="008F7FA7"/>
    <w:rsid w:val="0090013A"/>
    <w:rsid w:val="00900380"/>
    <w:rsid w:val="009008E5"/>
    <w:rsid w:val="00900DB1"/>
    <w:rsid w:val="00900DCB"/>
    <w:rsid w:val="00900EA8"/>
    <w:rsid w:val="00901842"/>
    <w:rsid w:val="009018C8"/>
    <w:rsid w:val="00901905"/>
    <w:rsid w:val="00901B15"/>
    <w:rsid w:val="0090271A"/>
    <w:rsid w:val="00902799"/>
    <w:rsid w:val="00903526"/>
    <w:rsid w:val="00903BE8"/>
    <w:rsid w:val="00903F1D"/>
    <w:rsid w:val="00904538"/>
    <w:rsid w:val="00904571"/>
    <w:rsid w:val="009048C0"/>
    <w:rsid w:val="00904FB5"/>
    <w:rsid w:val="00905257"/>
    <w:rsid w:val="00905711"/>
    <w:rsid w:val="00905D3D"/>
    <w:rsid w:val="00905DBB"/>
    <w:rsid w:val="00905FAD"/>
    <w:rsid w:val="00906A3D"/>
    <w:rsid w:val="00906D4A"/>
    <w:rsid w:val="00907123"/>
    <w:rsid w:val="00907DBD"/>
    <w:rsid w:val="009101E4"/>
    <w:rsid w:val="00910359"/>
    <w:rsid w:val="00910628"/>
    <w:rsid w:val="00910ED4"/>
    <w:rsid w:val="009111B0"/>
    <w:rsid w:val="0091180B"/>
    <w:rsid w:val="00911ED7"/>
    <w:rsid w:val="00912A26"/>
    <w:rsid w:val="00913675"/>
    <w:rsid w:val="00913980"/>
    <w:rsid w:val="00913E48"/>
    <w:rsid w:val="009140E2"/>
    <w:rsid w:val="00914425"/>
    <w:rsid w:val="00914428"/>
    <w:rsid w:val="0091493D"/>
    <w:rsid w:val="00914CA7"/>
    <w:rsid w:val="009155F4"/>
    <w:rsid w:val="009161C4"/>
    <w:rsid w:val="00916796"/>
    <w:rsid w:val="00917647"/>
    <w:rsid w:val="00920157"/>
    <w:rsid w:val="00921842"/>
    <w:rsid w:val="00921904"/>
    <w:rsid w:val="00921D1A"/>
    <w:rsid w:val="00922806"/>
    <w:rsid w:val="00922BA4"/>
    <w:rsid w:val="00922DBE"/>
    <w:rsid w:val="00922DCC"/>
    <w:rsid w:val="009232C8"/>
    <w:rsid w:val="0092382D"/>
    <w:rsid w:val="00923E9C"/>
    <w:rsid w:val="00925781"/>
    <w:rsid w:val="00925EE2"/>
    <w:rsid w:val="00925FF2"/>
    <w:rsid w:val="00927266"/>
    <w:rsid w:val="009278A7"/>
    <w:rsid w:val="009301C9"/>
    <w:rsid w:val="00930561"/>
    <w:rsid w:val="00930FDD"/>
    <w:rsid w:val="00931D1D"/>
    <w:rsid w:val="009328D9"/>
    <w:rsid w:val="00932935"/>
    <w:rsid w:val="009329E1"/>
    <w:rsid w:val="00933036"/>
    <w:rsid w:val="00934576"/>
    <w:rsid w:val="009349DA"/>
    <w:rsid w:val="00934FC2"/>
    <w:rsid w:val="0093547D"/>
    <w:rsid w:val="0093569F"/>
    <w:rsid w:val="00935996"/>
    <w:rsid w:val="00935DB8"/>
    <w:rsid w:val="00935E39"/>
    <w:rsid w:val="0093666F"/>
    <w:rsid w:val="0093751F"/>
    <w:rsid w:val="009377CD"/>
    <w:rsid w:val="0093783F"/>
    <w:rsid w:val="00940293"/>
    <w:rsid w:val="0094088D"/>
    <w:rsid w:val="00940EFF"/>
    <w:rsid w:val="0094100A"/>
    <w:rsid w:val="00942A4C"/>
    <w:rsid w:val="00942CE1"/>
    <w:rsid w:val="00942DF5"/>
    <w:rsid w:val="00943041"/>
    <w:rsid w:val="0094351C"/>
    <w:rsid w:val="00943710"/>
    <w:rsid w:val="00943A5C"/>
    <w:rsid w:val="00943DD8"/>
    <w:rsid w:val="00943E4E"/>
    <w:rsid w:val="0094402F"/>
    <w:rsid w:val="0094478E"/>
    <w:rsid w:val="00944ED5"/>
    <w:rsid w:val="009456A9"/>
    <w:rsid w:val="00945702"/>
    <w:rsid w:val="00945737"/>
    <w:rsid w:val="0094579F"/>
    <w:rsid w:val="009461E1"/>
    <w:rsid w:val="00946371"/>
    <w:rsid w:val="00946E15"/>
    <w:rsid w:val="009473EF"/>
    <w:rsid w:val="00947C2D"/>
    <w:rsid w:val="0095016F"/>
    <w:rsid w:val="00950497"/>
    <w:rsid w:val="00950DE1"/>
    <w:rsid w:val="00951603"/>
    <w:rsid w:val="009518FE"/>
    <w:rsid w:val="009526CB"/>
    <w:rsid w:val="0095317C"/>
    <w:rsid w:val="009532B9"/>
    <w:rsid w:val="0095347A"/>
    <w:rsid w:val="00954AEE"/>
    <w:rsid w:val="00955345"/>
    <w:rsid w:val="00955B50"/>
    <w:rsid w:val="00955CFE"/>
    <w:rsid w:val="00956E24"/>
    <w:rsid w:val="00960540"/>
    <w:rsid w:val="00961375"/>
    <w:rsid w:val="00961B38"/>
    <w:rsid w:val="00961C2F"/>
    <w:rsid w:val="00961CA9"/>
    <w:rsid w:val="009629BB"/>
    <w:rsid w:val="00962E83"/>
    <w:rsid w:val="00963098"/>
    <w:rsid w:val="0096328C"/>
    <w:rsid w:val="009635E6"/>
    <w:rsid w:val="009636BA"/>
    <w:rsid w:val="00963832"/>
    <w:rsid w:val="009643A6"/>
    <w:rsid w:val="00964AF3"/>
    <w:rsid w:val="00964B5F"/>
    <w:rsid w:val="00964D90"/>
    <w:rsid w:val="009653F6"/>
    <w:rsid w:val="009656A3"/>
    <w:rsid w:val="00965A8F"/>
    <w:rsid w:val="00965D9F"/>
    <w:rsid w:val="00966702"/>
    <w:rsid w:val="00966D01"/>
    <w:rsid w:val="00966D8B"/>
    <w:rsid w:val="00967411"/>
    <w:rsid w:val="00967C01"/>
    <w:rsid w:val="00970623"/>
    <w:rsid w:val="00971841"/>
    <w:rsid w:val="009727D5"/>
    <w:rsid w:val="00972963"/>
    <w:rsid w:val="00972A9A"/>
    <w:rsid w:val="00972BB9"/>
    <w:rsid w:val="009734ED"/>
    <w:rsid w:val="0097363A"/>
    <w:rsid w:val="00973B64"/>
    <w:rsid w:val="00973C28"/>
    <w:rsid w:val="00974208"/>
    <w:rsid w:val="0097482F"/>
    <w:rsid w:val="00975060"/>
    <w:rsid w:val="00976117"/>
    <w:rsid w:val="00976ACC"/>
    <w:rsid w:val="00976F50"/>
    <w:rsid w:val="00976FDC"/>
    <w:rsid w:val="0097723A"/>
    <w:rsid w:val="00977919"/>
    <w:rsid w:val="00977D81"/>
    <w:rsid w:val="0098008E"/>
    <w:rsid w:val="00980CC8"/>
    <w:rsid w:val="00980DEC"/>
    <w:rsid w:val="00981325"/>
    <w:rsid w:val="0098190C"/>
    <w:rsid w:val="00981C1E"/>
    <w:rsid w:val="009825FE"/>
    <w:rsid w:val="009827F5"/>
    <w:rsid w:val="00982A79"/>
    <w:rsid w:val="00982DC4"/>
    <w:rsid w:val="00983847"/>
    <w:rsid w:val="009839DC"/>
    <w:rsid w:val="00983FDA"/>
    <w:rsid w:val="009841DE"/>
    <w:rsid w:val="0098437C"/>
    <w:rsid w:val="0098519D"/>
    <w:rsid w:val="00985233"/>
    <w:rsid w:val="00985870"/>
    <w:rsid w:val="00986125"/>
    <w:rsid w:val="0098669B"/>
    <w:rsid w:val="00986C1E"/>
    <w:rsid w:val="00986E68"/>
    <w:rsid w:val="00990702"/>
    <w:rsid w:val="009907D4"/>
    <w:rsid w:val="00990DA2"/>
    <w:rsid w:val="00990E2E"/>
    <w:rsid w:val="00990FBE"/>
    <w:rsid w:val="0099114A"/>
    <w:rsid w:val="0099132D"/>
    <w:rsid w:val="0099172C"/>
    <w:rsid w:val="009917C5"/>
    <w:rsid w:val="009917EC"/>
    <w:rsid w:val="0099276C"/>
    <w:rsid w:val="009927D9"/>
    <w:rsid w:val="009940B3"/>
    <w:rsid w:val="009943F9"/>
    <w:rsid w:val="00994991"/>
    <w:rsid w:val="00995862"/>
    <w:rsid w:val="00996310"/>
    <w:rsid w:val="00996375"/>
    <w:rsid w:val="0099673E"/>
    <w:rsid w:val="009970C6"/>
    <w:rsid w:val="009972FA"/>
    <w:rsid w:val="009A0BE3"/>
    <w:rsid w:val="009A170B"/>
    <w:rsid w:val="009A21E1"/>
    <w:rsid w:val="009A35A4"/>
    <w:rsid w:val="009A38E7"/>
    <w:rsid w:val="009A40FD"/>
    <w:rsid w:val="009A45EA"/>
    <w:rsid w:val="009A49D8"/>
    <w:rsid w:val="009A4E28"/>
    <w:rsid w:val="009A5274"/>
    <w:rsid w:val="009A5570"/>
    <w:rsid w:val="009A587F"/>
    <w:rsid w:val="009A5B01"/>
    <w:rsid w:val="009A5DAA"/>
    <w:rsid w:val="009A6F04"/>
    <w:rsid w:val="009A710A"/>
    <w:rsid w:val="009A725F"/>
    <w:rsid w:val="009A74E9"/>
    <w:rsid w:val="009A77F4"/>
    <w:rsid w:val="009A7A78"/>
    <w:rsid w:val="009A7D0F"/>
    <w:rsid w:val="009A7F3E"/>
    <w:rsid w:val="009B0134"/>
    <w:rsid w:val="009B0CB0"/>
    <w:rsid w:val="009B14C0"/>
    <w:rsid w:val="009B15D0"/>
    <w:rsid w:val="009B1839"/>
    <w:rsid w:val="009B1B4B"/>
    <w:rsid w:val="009B1C10"/>
    <w:rsid w:val="009B232E"/>
    <w:rsid w:val="009B2999"/>
    <w:rsid w:val="009B31DD"/>
    <w:rsid w:val="009B3282"/>
    <w:rsid w:val="009B38CD"/>
    <w:rsid w:val="009B3AB7"/>
    <w:rsid w:val="009B3B25"/>
    <w:rsid w:val="009B3C73"/>
    <w:rsid w:val="009B5485"/>
    <w:rsid w:val="009B55A0"/>
    <w:rsid w:val="009B58CF"/>
    <w:rsid w:val="009B5951"/>
    <w:rsid w:val="009B60BD"/>
    <w:rsid w:val="009B6229"/>
    <w:rsid w:val="009B660D"/>
    <w:rsid w:val="009B676E"/>
    <w:rsid w:val="009B6CED"/>
    <w:rsid w:val="009B712D"/>
    <w:rsid w:val="009B7456"/>
    <w:rsid w:val="009B78D8"/>
    <w:rsid w:val="009B7B8A"/>
    <w:rsid w:val="009C0341"/>
    <w:rsid w:val="009C034E"/>
    <w:rsid w:val="009C090F"/>
    <w:rsid w:val="009C0BEF"/>
    <w:rsid w:val="009C17F4"/>
    <w:rsid w:val="009C20DD"/>
    <w:rsid w:val="009C21F8"/>
    <w:rsid w:val="009C2610"/>
    <w:rsid w:val="009C2723"/>
    <w:rsid w:val="009C2AFB"/>
    <w:rsid w:val="009C353F"/>
    <w:rsid w:val="009C39F1"/>
    <w:rsid w:val="009C3B36"/>
    <w:rsid w:val="009C45AB"/>
    <w:rsid w:val="009C45D8"/>
    <w:rsid w:val="009C46BC"/>
    <w:rsid w:val="009C48A4"/>
    <w:rsid w:val="009C4DAD"/>
    <w:rsid w:val="009C5208"/>
    <w:rsid w:val="009C5727"/>
    <w:rsid w:val="009C57FD"/>
    <w:rsid w:val="009C5858"/>
    <w:rsid w:val="009C59D1"/>
    <w:rsid w:val="009C5CD0"/>
    <w:rsid w:val="009C5E7E"/>
    <w:rsid w:val="009C6835"/>
    <w:rsid w:val="009C69B5"/>
    <w:rsid w:val="009C7697"/>
    <w:rsid w:val="009C76D3"/>
    <w:rsid w:val="009C7CEE"/>
    <w:rsid w:val="009D0080"/>
    <w:rsid w:val="009D0108"/>
    <w:rsid w:val="009D014B"/>
    <w:rsid w:val="009D054A"/>
    <w:rsid w:val="009D0E5D"/>
    <w:rsid w:val="009D1A37"/>
    <w:rsid w:val="009D1B97"/>
    <w:rsid w:val="009D29DB"/>
    <w:rsid w:val="009D29F3"/>
    <w:rsid w:val="009D31B6"/>
    <w:rsid w:val="009D3949"/>
    <w:rsid w:val="009D3A9C"/>
    <w:rsid w:val="009D4160"/>
    <w:rsid w:val="009D4326"/>
    <w:rsid w:val="009D43AC"/>
    <w:rsid w:val="009D45FF"/>
    <w:rsid w:val="009D698D"/>
    <w:rsid w:val="009D6FF4"/>
    <w:rsid w:val="009D7657"/>
    <w:rsid w:val="009D7BF7"/>
    <w:rsid w:val="009E03D8"/>
    <w:rsid w:val="009E05E2"/>
    <w:rsid w:val="009E0BB4"/>
    <w:rsid w:val="009E0F3E"/>
    <w:rsid w:val="009E1398"/>
    <w:rsid w:val="009E14D0"/>
    <w:rsid w:val="009E17CC"/>
    <w:rsid w:val="009E17E7"/>
    <w:rsid w:val="009E266A"/>
    <w:rsid w:val="009E290C"/>
    <w:rsid w:val="009E2A6E"/>
    <w:rsid w:val="009E32C5"/>
    <w:rsid w:val="009E34CB"/>
    <w:rsid w:val="009E408D"/>
    <w:rsid w:val="009E420C"/>
    <w:rsid w:val="009E4785"/>
    <w:rsid w:val="009E4D5E"/>
    <w:rsid w:val="009E5458"/>
    <w:rsid w:val="009E5880"/>
    <w:rsid w:val="009E5F97"/>
    <w:rsid w:val="009E6379"/>
    <w:rsid w:val="009E64A1"/>
    <w:rsid w:val="009E69B2"/>
    <w:rsid w:val="009E7577"/>
    <w:rsid w:val="009E771B"/>
    <w:rsid w:val="009F0A86"/>
    <w:rsid w:val="009F0BA5"/>
    <w:rsid w:val="009F115E"/>
    <w:rsid w:val="009F12C6"/>
    <w:rsid w:val="009F24AD"/>
    <w:rsid w:val="009F264B"/>
    <w:rsid w:val="009F2AC1"/>
    <w:rsid w:val="009F438D"/>
    <w:rsid w:val="009F4F98"/>
    <w:rsid w:val="009F5B57"/>
    <w:rsid w:val="009F6263"/>
    <w:rsid w:val="009F7464"/>
    <w:rsid w:val="009F7548"/>
    <w:rsid w:val="00A00303"/>
    <w:rsid w:val="00A00346"/>
    <w:rsid w:val="00A00423"/>
    <w:rsid w:val="00A005CD"/>
    <w:rsid w:val="00A00B79"/>
    <w:rsid w:val="00A014A2"/>
    <w:rsid w:val="00A01E7A"/>
    <w:rsid w:val="00A025AB"/>
    <w:rsid w:val="00A030F3"/>
    <w:rsid w:val="00A03385"/>
    <w:rsid w:val="00A03E53"/>
    <w:rsid w:val="00A05341"/>
    <w:rsid w:val="00A053F2"/>
    <w:rsid w:val="00A060A3"/>
    <w:rsid w:val="00A06A2E"/>
    <w:rsid w:val="00A073E7"/>
    <w:rsid w:val="00A07630"/>
    <w:rsid w:val="00A07805"/>
    <w:rsid w:val="00A07CCE"/>
    <w:rsid w:val="00A07E9B"/>
    <w:rsid w:val="00A07F23"/>
    <w:rsid w:val="00A1008F"/>
    <w:rsid w:val="00A100F5"/>
    <w:rsid w:val="00A101D1"/>
    <w:rsid w:val="00A102AF"/>
    <w:rsid w:val="00A1043D"/>
    <w:rsid w:val="00A11415"/>
    <w:rsid w:val="00A114F4"/>
    <w:rsid w:val="00A11B37"/>
    <w:rsid w:val="00A11B5C"/>
    <w:rsid w:val="00A11BC4"/>
    <w:rsid w:val="00A120DC"/>
    <w:rsid w:val="00A12419"/>
    <w:rsid w:val="00A13768"/>
    <w:rsid w:val="00A138C5"/>
    <w:rsid w:val="00A13A68"/>
    <w:rsid w:val="00A1590B"/>
    <w:rsid w:val="00A15BAC"/>
    <w:rsid w:val="00A15BF6"/>
    <w:rsid w:val="00A1606A"/>
    <w:rsid w:val="00A17224"/>
    <w:rsid w:val="00A17D87"/>
    <w:rsid w:val="00A20829"/>
    <w:rsid w:val="00A20E9C"/>
    <w:rsid w:val="00A2158B"/>
    <w:rsid w:val="00A224B7"/>
    <w:rsid w:val="00A22828"/>
    <w:rsid w:val="00A22C02"/>
    <w:rsid w:val="00A22C7A"/>
    <w:rsid w:val="00A23344"/>
    <w:rsid w:val="00A240D2"/>
    <w:rsid w:val="00A2460F"/>
    <w:rsid w:val="00A24827"/>
    <w:rsid w:val="00A24A97"/>
    <w:rsid w:val="00A24C29"/>
    <w:rsid w:val="00A25B66"/>
    <w:rsid w:val="00A25C0E"/>
    <w:rsid w:val="00A26D4A"/>
    <w:rsid w:val="00A27518"/>
    <w:rsid w:val="00A2763A"/>
    <w:rsid w:val="00A27A8D"/>
    <w:rsid w:val="00A27BD9"/>
    <w:rsid w:val="00A30030"/>
    <w:rsid w:val="00A30128"/>
    <w:rsid w:val="00A30287"/>
    <w:rsid w:val="00A3074E"/>
    <w:rsid w:val="00A30AFC"/>
    <w:rsid w:val="00A30B35"/>
    <w:rsid w:val="00A30F99"/>
    <w:rsid w:val="00A31BE3"/>
    <w:rsid w:val="00A321F9"/>
    <w:rsid w:val="00A32ADF"/>
    <w:rsid w:val="00A32CA6"/>
    <w:rsid w:val="00A332FE"/>
    <w:rsid w:val="00A3393D"/>
    <w:rsid w:val="00A33F88"/>
    <w:rsid w:val="00A343D3"/>
    <w:rsid w:val="00A34527"/>
    <w:rsid w:val="00A34B3D"/>
    <w:rsid w:val="00A34B6D"/>
    <w:rsid w:val="00A34F55"/>
    <w:rsid w:val="00A3514F"/>
    <w:rsid w:val="00A35578"/>
    <w:rsid w:val="00A3573B"/>
    <w:rsid w:val="00A36051"/>
    <w:rsid w:val="00A36174"/>
    <w:rsid w:val="00A361E6"/>
    <w:rsid w:val="00A3641E"/>
    <w:rsid w:val="00A36749"/>
    <w:rsid w:val="00A36BA5"/>
    <w:rsid w:val="00A37464"/>
    <w:rsid w:val="00A377F7"/>
    <w:rsid w:val="00A37D97"/>
    <w:rsid w:val="00A37E23"/>
    <w:rsid w:val="00A41479"/>
    <w:rsid w:val="00A41E94"/>
    <w:rsid w:val="00A42346"/>
    <w:rsid w:val="00A42861"/>
    <w:rsid w:val="00A42ADA"/>
    <w:rsid w:val="00A42D2D"/>
    <w:rsid w:val="00A42DFD"/>
    <w:rsid w:val="00A432DC"/>
    <w:rsid w:val="00A434A8"/>
    <w:rsid w:val="00A4387A"/>
    <w:rsid w:val="00A438FD"/>
    <w:rsid w:val="00A43D5D"/>
    <w:rsid w:val="00A4429E"/>
    <w:rsid w:val="00A444B4"/>
    <w:rsid w:val="00A45045"/>
    <w:rsid w:val="00A4507A"/>
    <w:rsid w:val="00A4576F"/>
    <w:rsid w:val="00A4592D"/>
    <w:rsid w:val="00A461B0"/>
    <w:rsid w:val="00A467E6"/>
    <w:rsid w:val="00A472DE"/>
    <w:rsid w:val="00A47524"/>
    <w:rsid w:val="00A47856"/>
    <w:rsid w:val="00A47BF8"/>
    <w:rsid w:val="00A47C66"/>
    <w:rsid w:val="00A47D78"/>
    <w:rsid w:val="00A47F87"/>
    <w:rsid w:val="00A50C27"/>
    <w:rsid w:val="00A51402"/>
    <w:rsid w:val="00A5150D"/>
    <w:rsid w:val="00A523EA"/>
    <w:rsid w:val="00A523F8"/>
    <w:rsid w:val="00A5250A"/>
    <w:rsid w:val="00A52E29"/>
    <w:rsid w:val="00A52EFD"/>
    <w:rsid w:val="00A531D2"/>
    <w:rsid w:val="00A532C0"/>
    <w:rsid w:val="00A53840"/>
    <w:rsid w:val="00A53BE4"/>
    <w:rsid w:val="00A54041"/>
    <w:rsid w:val="00A5458C"/>
    <w:rsid w:val="00A54E77"/>
    <w:rsid w:val="00A55056"/>
    <w:rsid w:val="00A55383"/>
    <w:rsid w:val="00A559FF"/>
    <w:rsid w:val="00A55A88"/>
    <w:rsid w:val="00A55B07"/>
    <w:rsid w:val="00A55C50"/>
    <w:rsid w:val="00A55E8C"/>
    <w:rsid w:val="00A56239"/>
    <w:rsid w:val="00A567E8"/>
    <w:rsid w:val="00A56EF5"/>
    <w:rsid w:val="00A57194"/>
    <w:rsid w:val="00A573D6"/>
    <w:rsid w:val="00A57443"/>
    <w:rsid w:val="00A6048A"/>
    <w:rsid w:val="00A60E06"/>
    <w:rsid w:val="00A61A80"/>
    <w:rsid w:val="00A62082"/>
    <w:rsid w:val="00A621CB"/>
    <w:rsid w:val="00A621CF"/>
    <w:rsid w:val="00A6298D"/>
    <w:rsid w:val="00A62AED"/>
    <w:rsid w:val="00A634BC"/>
    <w:rsid w:val="00A64813"/>
    <w:rsid w:val="00A653FF"/>
    <w:rsid w:val="00A655EA"/>
    <w:rsid w:val="00A661D7"/>
    <w:rsid w:val="00A6666E"/>
    <w:rsid w:val="00A66676"/>
    <w:rsid w:val="00A666F5"/>
    <w:rsid w:val="00A66735"/>
    <w:rsid w:val="00A6682E"/>
    <w:rsid w:val="00A668EA"/>
    <w:rsid w:val="00A6707D"/>
    <w:rsid w:val="00A67144"/>
    <w:rsid w:val="00A67369"/>
    <w:rsid w:val="00A676A3"/>
    <w:rsid w:val="00A677E8"/>
    <w:rsid w:val="00A67946"/>
    <w:rsid w:val="00A707A9"/>
    <w:rsid w:val="00A708CB"/>
    <w:rsid w:val="00A70B58"/>
    <w:rsid w:val="00A70F9C"/>
    <w:rsid w:val="00A71822"/>
    <w:rsid w:val="00A73219"/>
    <w:rsid w:val="00A73455"/>
    <w:rsid w:val="00A73836"/>
    <w:rsid w:val="00A740BF"/>
    <w:rsid w:val="00A743E6"/>
    <w:rsid w:val="00A752CB"/>
    <w:rsid w:val="00A7555F"/>
    <w:rsid w:val="00A763DC"/>
    <w:rsid w:val="00A77432"/>
    <w:rsid w:val="00A77542"/>
    <w:rsid w:val="00A77A26"/>
    <w:rsid w:val="00A77BE8"/>
    <w:rsid w:val="00A801DE"/>
    <w:rsid w:val="00A80515"/>
    <w:rsid w:val="00A80742"/>
    <w:rsid w:val="00A808CE"/>
    <w:rsid w:val="00A8096C"/>
    <w:rsid w:val="00A814AC"/>
    <w:rsid w:val="00A8158C"/>
    <w:rsid w:val="00A81750"/>
    <w:rsid w:val="00A8223A"/>
    <w:rsid w:val="00A8295F"/>
    <w:rsid w:val="00A82A9B"/>
    <w:rsid w:val="00A82B6B"/>
    <w:rsid w:val="00A83340"/>
    <w:rsid w:val="00A834CD"/>
    <w:rsid w:val="00A83702"/>
    <w:rsid w:val="00A83737"/>
    <w:rsid w:val="00A837D6"/>
    <w:rsid w:val="00A83A5C"/>
    <w:rsid w:val="00A83BFD"/>
    <w:rsid w:val="00A83D0A"/>
    <w:rsid w:val="00A84663"/>
    <w:rsid w:val="00A84921"/>
    <w:rsid w:val="00A84997"/>
    <w:rsid w:val="00A84EC8"/>
    <w:rsid w:val="00A84EFC"/>
    <w:rsid w:val="00A85265"/>
    <w:rsid w:val="00A853A4"/>
    <w:rsid w:val="00A859E0"/>
    <w:rsid w:val="00A86173"/>
    <w:rsid w:val="00A872C0"/>
    <w:rsid w:val="00A87C43"/>
    <w:rsid w:val="00A900BE"/>
    <w:rsid w:val="00A9051C"/>
    <w:rsid w:val="00A90798"/>
    <w:rsid w:val="00A9091C"/>
    <w:rsid w:val="00A90FCD"/>
    <w:rsid w:val="00A915A3"/>
    <w:rsid w:val="00A91995"/>
    <w:rsid w:val="00A920CC"/>
    <w:rsid w:val="00A9266B"/>
    <w:rsid w:val="00A9276C"/>
    <w:rsid w:val="00A928AB"/>
    <w:rsid w:val="00A94D34"/>
    <w:rsid w:val="00A95A0A"/>
    <w:rsid w:val="00A95AF2"/>
    <w:rsid w:val="00A95BCF"/>
    <w:rsid w:val="00A9618F"/>
    <w:rsid w:val="00A9653B"/>
    <w:rsid w:val="00A96BC0"/>
    <w:rsid w:val="00A970B7"/>
    <w:rsid w:val="00A971DB"/>
    <w:rsid w:val="00A9744F"/>
    <w:rsid w:val="00A977CD"/>
    <w:rsid w:val="00A9783D"/>
    <w:rsid w:val="00A97D78"/>
    <w:rsid w:val="00AA0091"/>
    <w:rsid w:val="00AA0173"/>
    <w:rsid w:val="00AA01F6"/>
    <w:rsid w:val="00AA077B"/>
    <w:rsid w:val="00AA155E"/>
    <w:rsid w:val="00AA2D0F"/>
    <w:rsid w:val="00AA3002"/>
    <w:rsid w:val="00AA3C7F"/>
    <w:rsid w:val="00AA3E68"/>
    <w:rsid w:val="00AA52A4"/>
    <w:rsid w:val="00AA5B68"/>
    <w:rsid w:val="00AA5D7B"/>
    <w:rsid w:val="00AA6522"/>
    <w:rsid w:val="00AA6D5B"/>
    <w:rsid w:val="00AA6EF5"/>
    <w:rsid w:val="00AA725C"/>
    <w:rsid w:val="00AA7C4E"/>
    <w:rsid w:val="00AA7E5E"/>
    <w:rsid w:val="00AB04F3"/>
    <w:rsid w:val="00AB0532"/>
    <w:rsid w:val="00AB0686"/>
    <w:rsid w:val="00AB0C28"/>
    <w:rsid w:val="00AB13B1"/>
    <w:rsid w:val="00AB1AA7"/>
    <w:rsid w:val="00AB2018"/>
    <w:rsid w:val="00AB2647"/>
    <w:rsid w:val="00AB2A1C"/>
    <w:rsid w:val="00AB2FED"/>
    <w:rsid w:val="00AB3EAF"/>
    <w:rsid w:val="00AB40F8"/>
    <w:rsid w:val="00AB491A"/>
    <w:rsid w:val="00AB5301"/>
    <w:rsid w:val="00AB58AB"/>
    <w:rsid w:val="00AB60DB"/>
    <w:rsid w:val="00AB626B"/>
    <w:rsid w:val="00AB6738"/>
    <w:rsid w:val="00AC0503"/>
    <w:rsid w:val="00AC09EE"/>
    <w:rsid w:val="00AC1736"/>
    <w:rsid w:val="00AC1BF9"/>
    <w:rsid w:val="00AC1E1E"/>
    <w:rsid w:val="00AC1EDA"/>
    <w:rsid w:val="00AC1F92"/>
    <w:rsid w:val="00AC210A"/>
    <w:rsid w:val="00AC230F"/>
    <w:rsid w:val="00AC23EB"/>
    <w:rsid w:val="00AC3523"/>
    <w:rsid w:val="00AC41BC"/>
    <w:rsid w:val="00AC4422"/>
    <w:rsid w:val="00AC4483"/>
    <w:rsid w:val="00AC477D"/>
    <w:rsid w:val="00AC4EA9"/>
    <w:rsid w:val="00AC4F6B"/>
    <w:rsid w:val="00AC4F9A"/>
    <w:rsid w:val="00AC5406"/>
    <w:rsid w:val="00AC60AA"/>
    <w:rsid w:val="00AC6D88"/>
    <w:rsid w:val="00AC79DC"/>
    <w:rsid w:val="00AC7BBE"/>
    <w:rsid w:val="00AD000B"/>
    <w:rsid w:val="00AD02EF"/>
    <w:rsid w:val="00AD0455"/>
    <w:rsid w:val="00AD0EA5"/>
    <w:rsid w:val="00AD0FBD"/>
    <w:rsid w:val="00AD12B2"/>
    <w:rsid w:val="00AD1785"/>
    <w:rsid w:val="00AD1B4E"/>
    <w:rsid w:val="00AD20CD"/>
    <w:rsid w:val="00AD23EA"/>
    <w:rsid w:val="00AD25FC"/>
    <w:rsid w:val="00AD263B"/>
    <w:rsid w:val="00AD303C"/>
    <w:rsid w:val="00AD3072"/>
    <w:rsid w:val="00AD315B"/>
    <w:rsid w:val="00AD576A"/>
    <w:rsid w:val="00AD5E6B"/>
    <w:rsid w:val="00AD64D9"/>
    <w:rsid w:val="00AD652D"/>
    <w:rsid w:val="00AD6DC3"/>
    <w:rsid w:val="00AD78E2"/>
    <w:rsid w:val="00AD7A51"/>
    <w:rsid w:val="00AD7ACE"/>
    <w:rsid w:val="00AD7B44"/>
    <w:rsid w:val="00AD7DD2"/>
    <w:rsid w:val="00AE00FD"/>
    <w:rsid w:val="00AE01E5"/>
    <w:rsid w:val="00AE0FE2"/>
    <w:rsid w:val="00AE1BD7"/>
    <w:rsid w:val="00AE1EBB"/>
    <w:rsid w:val="00AE22F4"/>
    <w:rsid w:val="00AE2B04"/>
    <w:rsid w:val="00AE2C3B"/>
    <w:rsid w:val="00AE2C9A"/>
    <w:rsid w:val="00AE310C"/>
    <w:rsid w:val="00AE3620"/>
    <w:rsid w:val="00AE4015"/>
    <w:rsid w:val="00AE401B"/>
    <w:rsid w:val="00AE4349"/>
    <w:rsid w:val="00AE456D"/>
    <w:rsid w:val="00AE4870"/>
    <w:rsid w:val="00AE4B1A"/>
    <w:rsid w:val="00AE4DCE"/>
    <w:rsid w:val="00AE51E0"/>
    <w:rsid w:val="00AE5364"/>
    <w:rsid w:val="00AE560D"/>
    <w:rsid w:val="00AE5FEB"/>
    <w:rsid w:val="00AE68DD"/>
    <w:rsid w:val="00AE7DD1"/>
    <w:rsid w:val="00AF0236"/>
    <w:rsid w:val="00AF068A"/>
    <w:rsid w:val="00AF0D6C"/>
    <w:rsid w:val="00AF10FB"/>
    <w:rsid w:val="00AF1122"/>
    <w:rsid w:val="00AF14CE"/>
    <w:rsid w:val="00AF1BA0"/>
    <w:rsid w:val="00AF22CB"/>
    <w:rsid w:val="00AF2ADE"/>
    <w:rsid w:val="00AF2B14"/>
    <w:rsid w:val="00AF2F04"/>
    <w:rsid w:val="00AF34C1"/>
    <w:rsid w:val="00AF3A5B"/>
    <w:rsid w:val="00AF3CDF"/>
    <w:rsid w:val="00AF4159"/>
    <w:rsid w:val="00AF5500"/>
    <w:rsid w:val="00AF5D46"/>
    <w:rsid w:val="00AF5DB8"/>
    <w:rsid w:val="00AF643E"/>
    <w:rsid w:val="00AF6570"/>
    <w:rsid w:val="00AF761B"/>
    <w:rsid w:val="00B00B9D"/>
    <w:rsid w:val="00B01172"/>
    <w:rsid w:val="00B013FD"/>
    <w:rsid w:val="00B0156B"/>
    <w:rsid w:val="00B021EB"/>
    <w:rsid w:val="00B0265B"/>
    <w:rsid w:val="00B027C5"/>
    <w:rsid w:val="00B02B5A"/>
    <w:rsid w:val="00B02ECB"/>
    <w:rsid w:val="00B0381F"/>
    <w:rsid w:val="00B039DE"/>
    <w:rsid w:val="00B03BAC"/>
    <w:rsid w:val="00B04BA1"/>
    <w:rsid w:val="00B05072"/>
    <w:rsid w:val="00B05197"/>
    <w:rsid w:val="00B05C82"/>
    <w:rsid w:val="00B067A5"/>
    <w:rsid w:val="00B07184"/>
    <w:rsid w:val="00B07360"/>
    <w:rsid w:val="00B074DE"/>
    <w:rsid w:val="00B07705"/>
    <w:rsid w:val="00B0793B"/>
    <w:rsid w:val="00B07D25"/>
    <w:rsid w:val="00B101EF"/>
    <w:rsid w:val="00B1093E"/>
    <w:rsid w:val="00B10A2C"/>
    <w:rsid w:val="00B10ACB"/>
    <w:rsid w:val="00B10B0D"/>
    <w:rsid w:val="00B10EC9"/>
    <w:rsid w:val="00B11B23"/>
    <w:rsid w:val="00B1358D"/>
    <w:rsid w:val="00B13BE1"/>
    <w:rsid w:val="00B142CD"/>
    <w:rsid w:val="00B1431F"/>
    <w:rsid w:val="00B143E2"/>
    <w:rsid w:val="00B14BDA"/>
    <w:rsid w:val="00B14E05"/>
    <w:rsid w:val="00B15242"/>
    <w:rsid w:val="00B1616C"/>
    <w:rsid w:val="00B16208"/>
    <w:rsid w:val="00B165D4"/>
    <w:rsid w:val="00B165E0"/>
    <w:rsid w:val="00B16FCA"/>
    <w:rsid w:val="00B174BE"/>
    <w:rsid w:val="00B1769C"/>
    <w:rsid w:val="00B17DE8"/>
    <w:rsid w:val="00B17FD9"/>
    <w:rsid w:val="00B2007D"/>
    <w:rsid w:val="00B20247"/>
    <w:rsid w:val="00B202FC"/>
    <w:rsid w:val="00B20442"/>
    <w:rsid w:val="00B208C2"/>
    <w:rsid w:val="00B209E4"/>
    <w:rsid w:val="00B20F00"/>
    <w:rsid w:val="00B21387"/>
    <w:rsid w:val="00B21976"/>
    <w:rsid w:val="00B223D3"/>
    <w:rsid w:val="00B2266E"/>
    <w:rsid w:val="00B2331F"/>
    <w:rsid w:val="00B238C1"/>
    <w:rsid w:val="00B23C6D"/>
    <w:rsid w:val="00B24330"/>
    <w:rsid w:val="00B247CA"/>
    <w:rsid w:val="00B2484D"/>
    <w:rsid w:val="00B24DAD"/>
    <w:rsid w:val="00B25184"/>
    <w:rsid w:val="00B252AF"/>
    <w:rsid w:val="00B25640"/>
    <w:rsid w:val="00B258E0"/>
    <w:rsid w:val="00B25C46"/>
    <w:rsid w:val="00B25FF4"/>
    <w:rsid w:val="00B261E4"/>
    <w:rsid w:val="00B264C3"/>
    <w:rsid w:val="00B26A14"/>
    <w:rsid w:val="00B275A0"/>
    <w:rsid w:val="00B27727"/>
    <w:rsid w:val="00B27AE0"/>
    <w:rsid w:val="00B27E90"/>
    <w:rsid w:val="00B27F84"/>
    <w:rsid w:val="00B30358"/>
    <w:rsid w:val="00B31291"/>
    <w:rsid w:val="00B31615"/>
    <w:rsid w:val="00B31CF0"/>
    <w:rsid w:val="00B31D6C"/>
    <w:rsid w:val="00B3213C"/>
    <w:rsid w:val="00B3253F"/>
    <w:rsid w:val="00B330C5"/>
    <w:rsid w:val="00B33123"/>
    <w:rsid w:val="00B34327"/>
    <w:rsid w:val="00B34695"/>
    <w:rsid w:val="00B347B4"/>
    <w:rsid w:val="00B34984"/>
    <w:rsid w:val="00B349A3"/>
    <w:rsid w:val="00B3523D"/>
    <w:rsid w:val="00B3536C"/>
    <w:rsid w:val="00B353C2"/>
    <w:rsid w:val="00B35CC9"/>
    <w:rsid w:val="00B35EFE"/>
    <w:rsid w:val="00B36A7F"/>
    <w:rsid w:val="00B36C3C"/>
    <w:rsid w:val="00B36D16"/>
    <w:rsid w:val="00B37272"/>
    <w:rsid w:val="00B3764D"/>
    <w:rsid w:val="00B37690"/>
    <w:rsid w:val="00B40948"/>
    <w:rsid w:val="00B417E3"/>
    <w:rsid w:val="00B41AE7"/>
    <w:rsid w:val="00B41D9D"/>
    <w:rsid w:val="00B41EF0"/>
    <w:rsid w:val="00B4216C"/>
    <w:rsid w:val="00B42221"/>
    <w:rsid w:val="00B42465"/>
    <w:rsid w:val="00B42493"/>
    <w:rsid w:val="00B42743"/>
    <w:rsid w:val="00B4278D"/>
    <w:rsid w:val="00B42873"/>
    <w:rsid w:val="00B42FFA"/>
    <w:rsid w:val="00B43A32"/>
    <w:rsid w:val="00B43D65"/>
    <w:rsid w:val="00B441FE"/>
    <w:rsid w:val="00B44325"/>
    <w:rsid w:val="00B44868"/>
    <w:rsid w:val="00B45644"/>
    <w:rsid w:val="00B460D0"/>
    <w:rsid w:val="00B4724A"/>
    <w:rsid w:val="00B47256"/>
    <w:rsid w:val="00B47365"/>
    <w:rsid w:val="00B474C7"/>
    <w:rsid w:val="00B47A62"/>
    <w:rsid w:val="00B503A2"/>
    <w:rsid w:val="00B50939"/>
    <w:rsid w:val="00B50D05"/>
    <w:rsid w:val="00B5188F"/>
    <w:rsid w:val="00B519A0"/>
    <w:rsid w:val="00B51A2F"/>
    <w:rsid w:val="00B51B95"/>
    <w:rsid w:val="00B51DE1"/>
    <w:rsid w:val="00B52905"/>
    <w:rsid w:val="00B531C9"/>
    <w:rsid w:val="00B53CEF"/>
    <w:rsid w:val="00B54595"/>
    <w:rsid w:val="00B545FC"/>
    <w:rsid w:val="00B550D6"/>
    <w:rsid w:val="00B55D10"/>
    <w:rsid w:val="00B55E1E"/>
    <w:rsid w:val="00B56056"/>
    <w:rsid w:val="00B567C2"/>
    <w:rsid w:val="00B56FE6"/>
    <w:rsid w:val="00B57315"/>
    <w:rsid w:val="00B574B1"/>
    <w:rsid w:val="00B57C61"/>
    <w:rsid w:val="00B60868"/>
    <w:rsid w:val="00B609F3"/>
    <w:rsid w:val="00B62056"/>
    <w:rsid w:val="00B621C3"/>
    <w:rsid w:val="00B6261F"/>
    <w:rsid w:val="00B62E1D"/>
    <w:rsid w:val="00B62E9E"/>
    <w:rsid w:val="00B62FF6"/>
    <w:rsid w:val="00B63033"/>
    <w:rsid w:val="00B63F7A"/>
    <w:rsid w:val="00B6471C"/>
    <w:rsid w:val="00B64A94"/>
    <w:rsid w:val="00B64F98"/>
    <w:rsid w:val="00B65BE7"/>
    <w:rsid w:val="00B663A0"/>
    <w:rsid w:val="00B668FF"/>
    <w:rsid w:val="00B670C1"/>
    <w:rsid w:val="00B673A7"/>
    <w:rsid w:val="00B67E43"/>
    <w:rsid w:val="00B7035D"/>
    <w:rsid w:val="00B718F8"/>
    <w:rsid w:val="00B71A6B"/>
    <w:rsid w:val="00B71DEE"/>
    <w:rsid w:val="00B73311"/>
    <w:rsid w:val="00B73627"/>
    <w:rsid w:val="00B7376E"/>
    <w:rsid w:val="00B73A80"/>
    <w:rsid w:val="00B73B04"/>
    <w:rsid w:val="00B74BD0"/>
    <w:rsid w:val="00B74D12"/>
    <w:rsid w:val="00B74F75"/>
    <w:rsid w:val="00B75B0E"/>
    <w:rsid w:val="00B768AE"/>
    <w:rsid w:val="00B76FB5"/>
    <w:rsid w:val="00B772B2"/>
    <w:rsid w:val="00B77325"/>
    <w:rsid w:val="00B77604"/>
    <w:rsid w:val="00B77845"/>
    <w:rsid w:val="00B778B9"/>
    <w:rsid w:val="00B778F7"/>
    <w:rsid w:val="00B77A54"/>
    <w:rsid w:val="00B77CB9"/>
    <w:rsid w:val="00B77E71"/>
    <w:rsid w:val="00B806CE"/>
    <w:rsid w:val="00B816C6"/>
    <w:rsid w:val="00B818D2"/>
    <w:rsid w:val="00B81B82"/>
    <w:rsid w:val="00B81C2C"/>
    <w:rsid w:val="00B82296"/>
    <w:rsid w:val="00B82440"/>
    <w:rsid w:val="00B82472"/>
    <w:rsid w:val="00B829C2"/>
    <w:rsid w:val="00B832CA"/>
    <w:rsid w:val="00B83F0C"/>
    <w:rsid w:val="00B855F3"/>
    <w:rsid w:val="00B865DB"/>
    <w:rsid w:val="00B86B6D"/>
    <w:rsid w:val="00B86F7A"/>
    <w:rsid w:val="00B87354"/>
    <w:rsid w:val="00B875DE"/>
    <w:rsid w:val="00B87772"/>
    <w:rsid w:val="00B87C1A"/>
    <w:rsid w:val="00B90446"/>
    <w:rsid w:val="00B90CCB"/>
    <w:rsid w:val="00B91182"/>
    <w:rsid w:val="00B91357"/>
    <w:rsid w:val="00B91366"/>
    <w:rsid w:val="00B91471"/>
    <w:rsid w:val="00B91799"/>
    <w:rsid w:val="00B918A8"/>
    <w:rsid w:val="00B92004"/>
    <w:rsid w:val="00B93431"/>
    <w:rsid w:val="00B935F3"/>
    <w:rsid w:val="00B93607"/>
    <w:rsid w:val="00B93FFE"/>
    <w:rsid w:val="00B944DC"/>
    <w:rsid w:val="00B946BC"/>
    <w:rsid w:val="00B946D0"/>
    <w:rsid w:val="00B947A0"/>
    <w:rsid w:val="00B952C3"/>
    <w:rsid w:val="00B9583B"/>
    <w:rsid w:val="00B958D0"/>
    <w:rsid w:val="00B95CE3"/>
    <w:rsid w:val="00B95E14"/>
    <w:rsid w:val="00B96CBC"/>
    <w:rsid w:val="00B97223"/>
    <w:rsid w:val="00B975B6"/>
    <w:rsid w:val="00B975BA"/>
    <w:rsid w:val="00BA036E"/>
    <w:rsid w:val="00BA0495"/>
    <w:rsid w:val="00BA07F5"/>
    <w:rsid w:val="00BA10FE"/>
    <w:rsid w:val="00BA14D5"/>
    <w:rsid w:val="00BA14EA"/>
    <w:rsid w:val="00BA1859"/>
    <w:rsid w:val="00BA1F51"/>
    <w:rsid w:val="00BA24E6"/>
    <w:rsid w:val="00BA255D"/>
    <w:rsid w:val="00BA276E"/>
    <w:rsid w:val="00BA2C8B"/>
    <w:rsid w:val="00BA2DBF"/>
    <w:rsid w:val="00BA3A8B"/>
    <w:rsid w:val="00BA3CCA"/>
    <w:rsid w:val="00BA44C5"/>
    <w:rsid w:val="00BA4DE5"/>
    <w:rsid w:val="00BA4F6D"/>
    <w:rsid w:val="00BA506E"/>
    <w:rsid w:val="00BA5E26"/>
    <w:rsid w:val="00BA6253"/>
    <w:rsid w:val="00BA71A1"/>
    <w:rsid w:val="00BA71A2"/>
    <w:rsid w:val="00BA75BF"/>
    <w:rsid w:val="00BA7B3C"/>
    <w:rsid w:val="00BA7C29"/>
    <w:rsid w:val="00BA7FD0"/>
    <w:rsid w:val="00BB0155"/>
    <w:rsid w:val="00BB0514"/>
    <w:rsid w:val="00BB0CCB"/>
    <w:rsid w:val="00BB11B0"/>
    <w:rsid w:val="00BB14A3"/>
    <w:rsid w:val="00BB1715"/>
    <w:rsid w:val="00BB1852"/>
    <w:rsid w:val="00BB1A84"/>
    <w:rsid w:val="00BB3231"/>
    <w:rsid w:val="00BB4075"/>
    <w:rsid w:val="00BB454B"/>
    <w:rsid w:val="00BB45EA"/>
    <w:rsid w:val="00BB48B5"/>
    <w:rsid w:val="00BB4913"/>
    <w:rsid w:val="00BB4B5E"/>
    <w:rsid w:val="00BB4C24"/>
    <w:rsid w:val="00BB4D21"/>
    <w:rsid w:val="00BB5A0B"/>
    <w:rsid w:val="00BB5D4E"/>
    <w:rsid w:val="00BB6510"/>
    <w:rsid w:val="00BB68C1"/>
    <w:rsid w:val="00BC0142"/>
    <w:rsid w:val="00BC035D"/>
    <w:rsid w:val="00BC08D1"/>
    <w:rsid w:val="00BC1AA6"/>
    <w:rsid w:val="00BC1DB0"/>
    <w:rsid w:val="00BC205F"/>
    <w:rsid w:val="00BC247F"/>
    <w:rsid w:val="00BC2968"/>
    <w:rsid w:val="00BC2FF4"/>
    <w:rsid w:val="00BC3BCA"/>
    <w:rsid w:val="00BC3D3B"/>
    <w:rsid w:val="00BC3FEE"/>
    <w:rsid w:val="00BC4846"/>
    <w:rsid w:val="00BC52E5"/>
    <w:rsid w:val="00BC5C26"/>
    <w:rsid w:val="00BC6365"/>
    <w:rsid w:val="00BC69AC"/>
    <w:rsid w:val="00BC69C5"/>
    <w:rsid w:val="00BC762A"/>
    <w:rsid w:val="00BC78AE"/>
    <w:rsid w:val="00BC7E74"/>
    <w:rsid w:val="00BD13EA"/>
    <w:rsid w:val="00BD1528"/>
    <w:rsid w:val="00BD1ED8"/>
    <w:rsid w:val="00BD271C"/>
    <w:rsid w:val="00BD30E6"/>
    <w:rsid w:val="00BD34F1"/>
    <w:rsid w:val="00BD3789"/>
    <w:rsid w:val="00BD3AB9"/>
    <w:rsid w:val="00BD3E41"/>
    <w:rsid w:val="00BD4151"/>
    <w:rsid w:val="00BD46B8"/>
    <w:rsid w:val="00BD4973"/>
    <w:rsid w:val="00BD4B8F"/>
    <w:rsid w:val="00BD4E92"/>
    <w:rsid w:val="00BD591A"/>
    <w:rsid w:val="00BD5F51"/>
    <w:rsid w:val="00BD6BA8"/>
    <w:rsid w:val="00BD6C7E"/>
    <w:rsid w:val="00BD724C"/>
    <w:rsid w:val="00BE02E9"/>
    <w:rsid w:val="00BE03EE"/>
    <w:rsid w:val="00BE0ADA"/>
    <w:rsid w:val="00BE0C88"/>
    <w:rsid w:val="00BE1485"/>
    <w:rsid w:val="00BE18D7"/>
    <w:rsid w:val="00BE22C2"/>
    <w:rsid w:val="00BE24B9"/>
    <w:rsid w:val="00BE2A4E"/>
    <w:rsid w:val="00BE2B0D"/>
    <w:rsid w:val="00BE2E65"/>
    <w:rsid w:val="00BE3387"/>
    <w:rsid w:val="00BE37C3"/>
    <w:rsid w:val="00BE4193"/>
    <w:rsid w:val="00BE472D"/>
    <w:rsid w:val="00BE472F"/>
    <w:rsid w:val="00BE4850"/>
    <w:rsid w:val="00BE4D55"/>
    <w:rsid w:val="00BE60B6"/>
    <w:rsid w:val="00BE60FD"/>
    <w:rsid w:val="00BE75C3"/>
    <w:rsid w:val="00BE7BD2"/>
    <w:rsid w:val="00BE7C9B"/>
    <w:rsid w:val="00BE7D6A"/>
    <w:rsid w:val="00BF1A57"/>
    <w:rsid w:val="00BF1ADB"/>
    <w:rsid w:val="00BF1C58"/>
    <w:rsid w:val="00BF2350"/>
    <w:rsid w:val="00BF25F2"/>
    <w:rsid w:val="00BF2C13"/>
    <w:rsid w:val="00BF2DF5"/>
    <w:rsid w:val="00BF31DE"/>
    <w:rsid w:val="00BF32D4"/>
    <w:rsid w:val="00BF350B"/>
    <w:rsid w:val="00BF3821"/>
    <w:rsid w:val="00BF3C46"/>
    <w:rsid w:val="00BF3EFF"/>
    <w:rsid w:val="00BF401A"/>
    <w:rsid w:val="00BF43F3"/>
    <w:rsid w:val="00BF4B6E"/>
    <w:rsid w:val="00BF5272"/>
    <w:rsid w:val="00BF579A"/>
    <w:rsid w:val="00BF67C6"/>
    <w:rsid w:val="00BF79F3"/>
    <w:rsid w:val="00C00E47"/>
    <w:rsid w:val="00C00FC8"/>
    <w:rsid w:val="00C02254"/>
    <w:rsid w:val="00C024ED"/>
    <w:rsid w:val="00C02524"/>
    <w:rsid w:val="00C032C4"/>
    <w:rsid w:val="00C03389"/>
    <w:rsid w:val="00C034F1"/>
    <w:rsid w:val="00C03EFC"/>
    <w:rsid w:val="00C04A20"/>
    <w:rsid w:val="00C04F6B"/>
    <w:rsid w:val="00C05021"/>
    <w:rsid w:val="00C05618"/>
    <w:rsid w:val="00C057B1"/>
    <w:rsid w:val="00C05845"/>
    <w:rsid w:val="00C06614"/>
    <w:rsid w:val="00C07558"/>
    <w:rsid w:val="00C076E7"/>
    <w:rsid w:val="00C07A57"/>
    <w:rsid w:val="00C101BD"/>
    <w:rsid w:val="00C10201"/>
    <w:rsid w:val="00C107F0"/>
    <w:rsid w:val="00C11792"/>
    <w:rsid w:val="00C117F1"/>
    <w:rsid w:val="00C122B3"/>
    <w:rsid w:val="00C123FC"/>
    <w:rsid w:val="00C12CEA"/>
    <w:rsid w:val="00C13286"/>
    <w:rsid w:val="00C1341B"/>
    <w:rsid w:val="00C13E40"/>
    <w:rsid w:val="00C1464E"/>
    <w:rsid w:val="00C148C3"/>
    <w:rsid w:val="00C14D0C"/>
    <w:rsid w:val="00C14E4A"/>
    <w:rsid w:val="00C1544F"/>
    <w:rsid w:val="00C15E8F"/>
    <w:rsid w:val="00C15F0D"/>
    <w:rsid w:val="00C170C3"/>
    <w:rsid w:val="00C200C1"/>
    <w:rsid w:val="00C20127"/>
    <w:rsid w:val="00C21845"/>
    <w:rsid w:val="00C21DA1"/>
    <w:rsid w:val="00C21FB8"/>
    <w:rsid w:val="00C225FB"/>
    <w:rsid w:val="00C22D5C"/>
    <w:rsid w:val="00C22DDF"/>
    <w:rsid w:val="00C232AA"/>
    <w:rsid w:val="00C2355C"/>
    <w:rsid w:val="00C2398A"/>
    <w:rsid w:val="00C23DF7"/>
    <w:rsid w:val="00C23F0A"/>
    <w:rsid w:val="00C240A3"/>
    <w:rsid w:val="00C241FB"/>
    <w:rsid w:val="00C24CB2"/>
    <w:rsid w:val="00C24DD2"/>
    <w:rsid w:val="00C25339"/>
    <w:rsid w:val="00C2549E"/>
    <w:rsid w:val="00C25859"/>
    <w:rsid w:val="00C25E1A"/>
    <w:rsid w:val="00C26B04"/>
    <w:rsid w:val="00C30610"/>
    <w:rsid w:val="00C31164"/>
    <w:rsid w:val="00C313A5"/>
    <w:rsid w:val="00C316E5"/>
    <w:rsid w:val="00C3173B"/>
    <w:rsid w:val="00C3175F"/>
    <w:rsid w:val="00C31B49"/>
    <w:rsid w:val="00C323E7"/>
    <w:rsid w:val="00C324A1"/>
    <w:rsid w:val="00C32D14"/>
    <w:rsid w:val="00C337C7"/>
    <w:rsid w:val="00C341FE"/>
    <w:rsid w:val="00C3422B"/>
    <w:rsid w:val="00C34D9A"/>
    <w:rsid w:val="00C351CC"/>
    <w:rsid w:val="00C351F4"/>
    <w:rsid w:val="00C35292"/>
    <w:rsid w:val="00C3541B"/>
    <w:rsid w:val="00C35674"/>
    <w:rsid w:val="00C361AC"/>
    <w:rsid w:val="00C36E4F"/>
    <w:rsid w:val="00C3715B"/>
    <w:rsid w:val="00C3747C"/>
    <w:rsid w:val="00C37C25"/>
    <w:rsid w:val="00C37DCF"/>
    <w:rsid w:val="00C407FF"/>
    <w:rsid w:val="00C40D45"/>
    <w:rsid w:val="00C410D7"/>
    <w:rsid w:val="00C4133A"/>
    <w:rsid w:val="00C416DC"/>
    <w:rsid w:val="00C41B3D"/>
    <w:rsid w:val="00C41BC5"/>
    <w:rsid w:val="00C41EA0"/>
    <w:rsid w:val="00C4238A"/>
    <w:rsid w:val="00C429A3"/>
    <w:rsid w:val="00C42DC0"/>
    <w:rsid w:val="00C42EB8"/>
    <w:rsid w:val="00C430DD"/>
    <w:rsid w:val="00C43A44"/>
    <w:rsid w:val="00C43D38"/>
    <w:rsid w:val="00C43ED4"/>
    <w:rsid w:val="00C44B96"/>
    <w:rsid w:val="00C44CA6"/>
    <w:rsid w:val="00C4527E"/>
    <w:rsid w:val="00C45505"/>
    <w:rsid w:val="00C455DB"/>
    <w:rsid w:val="00C45805"/>
    <w:rsid w:val="00C45A07"/>
    <w:rsid w:val="00C45B13"/>
    <w:rsid w:val="00C45F6D"/>
    <w:rsid w:val="00C47100"/>
    <w:rsid w:val="00C4737B"/>
    <w:rsid w:val="00C4784A"/>
    <w:rsid w:val="00C47B40"/>
    <w:rsid w:val="00C505F8"/>
    <w:rsid w:val="00C50B77"/>
    <w:rsid w:val="00C50BFF"/>
    <w:rsid w:val="00C51670"/>
    <w:rsid w:val="00C51D05"/>
    <w:rsid w:val="00C51EC1"/>
    <w:rsid w:val="00C51F12"/>
    <w:rsid w:val="00C524F1"/>
    <w:rsid w:val="00C52D1E"/>
    <w:rsid w:val="00C54158"/>
    <w:rsid w:val="00C548FE"/>
    <w:rsid w:val="00C550FB"/>
    <w:rsid w:val="00C551D0"/>
    <w:rsid w:val="00C55958"/>
    <w:rsid w:val="00C55F89"/>
    <w:rsid w:val="00C568EE"/>
    <w:rsid w:val="00C5696F"/>
    <w:rsid w:val="00C57212"/>
    <w:rsid w:val="00C573B5"/>
    <w:rsid w:val="00C603BD"/>
    <w:rsid w:val="00C603CD"/>
    <w:rsid w:val="00C607AF"/>
    <w:rsid w:val="00C6183F"/>
    <w:rsid w:val="00C61EC7"/>
    <w:rsid w:val="00C62293"/>
    <w:rsid w:val="00C626F1"/>
    <w:rsid w:val="00C62A86"/>
    <w:rsid w:val="00C630F4"/>
    <w:rsid w:val="00C63286"/>
    <w:rsid w:val="00C637B1"/>
    <w:rsid w:val="00C64026"/>
    <w:rsid w:val="00C6458C"/>
    <w:rsid w:val="00C6485A"/>
    <w:rsid w:val="00C64BFE"/>
    <w:rsid w:val="00C64FBC"/>
    <w:rsid w:val="00C65F3F"/>
    <w:rsid w:val="00C661CF"/>
    <w:rsid w:val="00C66C3E"/>
    <w:rsid w:val="00C6735B"/>
    <w:rsid w:val="00C67929"/>
    <w:rsid w:val="00C67C2A"/>
    <w:rsid w:val="00C67E61"/>
    <w:rsid w:val="00C70564"/>
    <w:rsid w:val="00C70A8B"/>
    <w:rsid w:val="00C70E9F"/>
    <w:rsid w:val="00C71428"/>
    <w:rsid w:val="00C714AB"/>
    <w:rsid w:val="00C717E2"/>
    <w:rsid w:val="00C72500"/>
    <w:rsid w:val="00C72713"/>
    <w:rsid w:val="00C7278B"/>
    <w:rsid w:val="00C72C2C"/>
    <w:rsid w:val="00C7355C"/>
    <w:rsid w:val="00C73835"/>
    <w:rsid w:val="00C73846"/>
    <w:rsid w:val="00C74D1D"/>
    <w:rsid w:val="00C75288"/>
    <w:rsid w:val="00C75347"/>
    <w:rsid w:val="00C756F8"/>
    <w:rsid w:val="00C75B2A"/>
    <w:rsid w:val="00C765C9"/>
    <w:rsid w:val="00C7685B"/>
    <w:rsid w:val="00C768F1"/>
    <w:rsid w:val="00C768FA"/>
    <w:rsid w:val="00C76C15"/>
    <w:rsid w:val="00C77065"/>
    <w:rsid w:val="00C776B4"/>
    <w:rsid w:val="00C77768"/>
    <w:rsid w:val="00C77DF8"/>
    <w:rsid w:val="00C802BA"/>
    <w:rsid w:val="00C80728"/>
    <w:rsid w:val="00C80855"/>
    <w:rsid w:val="00C80B03"/>
    <w:rsid w:val="00C80C84"/>
    <w:rsid w:val="00C80EC3"/>
    <w:rsid w:val="00C810A4"/>
    <w:rsid w:val="00C81A2A"/>
    <w:rsid w:val="00C81CBF"/>
    <w:rsid w:val="00C82691"/>
    <w:rsid w:val="00C83697"/>
    <w:rsid w:val="00C83AB8"/>
    <w:rsid w:val="00C83BD3"/>
    <w:rsid w:val="00C83D87"/>
    <w:rsid w:val="00C83F27"/>
    <w:rsid w:val="00C84100"/>
    <w:rsid w:val="00C8414B"/>
    <w:rsid w:val="00C846E0"/>
    <w:rsid w:val="00C84801"/>
    <w:rsid w:val="00C84C2B"/>
    <w:rsid w:val="00C84C56"/>
    <w:rsid w:val="00C84E34"/>
    <w:rsid w:val="00C85524"/>
    <w:rsid w:val="00C85A7A"/>
    <w:rsid w:val="00C86E4E"/>
    <w:rsid w:val="00C873B6"/>
    <w:rsid w:val="00C875E5"/>
    <w:rsid w:val="00C87EE5"/>
    <w:rsid w:val="00C87F64"/>
    <w:rsid w:val="00C87FE8"/>
    <w:rsid w:val="00C90356"/>
    <w:rsid w:val="00C90659"/>
    <w:rsid w:val="00C914A5"/>
    <w:rsid w:val="00C91564"/>
    <w:rsid w:val="00C918FB"/>
    <w:rsid w:val="00C92051"/>
    <w:rsid w:val="00C9229D"/>
    <w:rsid w:val="00C923A6"/>
    <w:rsid w:val="00C92FF5"/>
    <w:rsid w:val="00C932CF"/>
    <w:rsid w:val="00C9374A"/>
    <w:rsid w:val="00C93A09"/>
    <w:rsid w:val="00C95A12"/>
    <w:rsid w:val="00C95C6E"/>
    <w:rsid w:val="00C95D22"/>
    <w:rsid w:val="00C96259"/>
    <w:rsid w:val="00C96365"/>
    <w:rsid w:val="00C964AD"/>
    <w:rsid w:val="00C9653A"/>
    <w:rsid w:val="00C965DB"/>
    <w:rsid w:val="00C9674C"/>
    <w:rsid w:val="00C973F1"/>
    <w:rsid w:val="00C979B3"/>
    <w:rsid w:val="00C97F3F"/>
    <w:rsid w:val="00CA000D"/>
    <w:rsid w:val="00CA078C"/>
    <w:rsid w:val="00CA092C"/>
    <w:rsid w:val="00CA1527"/>
    <w:rsid w:val="00CA19EB"/>
    <w:rsid w:val="00CA1BCF"/>
    <w:rsid w:val="00CA29C5"/>
    <w:rsid w:val="00CA2AC3"/>
    <w:rsid w:val="00CA2DCB"/>
    <w:rsid w:val="00CA332A"/>
    <w:rsid w:val="00CA3A6E"/>
    <w:rsid w:val="00CA3B51"/>
    <w:rsid w:val="00CA3BC4"/>
    <w:rsid w:val="00CA3F4C"/>
    <w:rsid w:val="00CA424E"/>
    <w:rsid w:val="00CA5003"/>
    <w:rsid w:val="00CA5357"/>
    <w:rsid w:val="00CA5683"/>
    <w:rsid w:val="00CA5760"/>
    <w:rsid w:val="00CA5B5B"/>
    <w:rsid w:val="00CA68F2"/>
    <w:rsid w:val="00CA6CD1"/>
    <w:rsid w:val="00CA7088"/>
    <w:rsid w:val="00CA709D"/>
    <w:rsid w:val="00CA7C21"/>
    <w:rsid w:val="00CA7DC3"/>
    <w:rsid w:val="00CB037A"/>
    <w:rsid w:val="00CB053C"/>
    <w:rsid w:val="00CB06CF"/>
    <w:rsid w:val="00CB09C9"/>
    <w:rsid w:val="00CB0F9A"/>
    <w:rsid w:val="00CB1031"/>
    <w:rsid w:val="00CB17AC"/>
    <w:rsid w:val="00CB1A83"/>
    <w:rsid w:val="00CB207C"/>
    <w:rsid w:val="00CB21C6"/>
    <w:rsid w:val="00CB2AFC"/>
    <w:rsid w:val="00CB2D80"/>
    <w:rsid w:val="00CB34EA"/>
    <w:rsid w:val="00CB3504"/>
    <w:rsid w:val="00CB38B1"/>
    <w:rsid w:val="00CB3C18"/>
    <w:rsid w:val="00CB4197"/>
    <w:rsid w:val="00CB467C"/>
    <w:rsid w:val="00CB486D"/>
    <w:rsid w:val="00CB547D"/>
    <w:rsid w:val="00CB58E5"/>
    <w:rsid w:val="00CB59CB"/>
    <w:rsid w:val="00CB5DFD"/>
    <w:rsid w:val="00CB639E"/>
    <w:rsid w:val="00CB6786"/>
    <w:rsid w:val="00CB68C4"/>
    <w:rsid w:val="00CB6A55"/>
    <w:rsid w:val="00CB7221"/>
    <w:rsid w:val="00CB723B"/>
    <w:rsid w:val="00CB73CF"/>
    <w:rsid w:val="00CB7A90"/>
    <w:rsid w:val="00CC039A"/>
    <w:rsid w:val="00CC0696"/>
    <w:rsid w:val="00CC1139"/>
    <w:rsid w:val="00CC1B97"/>
    <w:rsid w:val="00CC21B3"/>
    <w:rsid w:val="00CC21ED"/>
    <w:rsid w:val="00CC2A1B"/>
    <w:rsid w:val="00CC2F5A"/>
    <w:rsid w:val="00CC38DF"/>
    <w:rsid w:val="00CC3A1D"/>
    <w:rsid w:val="00CC53A2"/>
    <w:rsid w:val="00CC5666"/>
    <w:rsid w:val="00CC5675"/>
    <w:rsid w:val="00CC5B2C"/>
    <w:rsid w:val="00CC7731"/>
    <w:rsid w:val="00CD00A8"/>
    <w:rsid w:val="00CD0119"/>
    <w:rsid w:val="00CD04CA"/>
    <w:rsid w:val="00CD075A"/>
    <w:rsid w:val="00CD0D82"/>
    <w:rsid w:val="00CD1254"/>
    <w:rsid w:val="00CD1759"/>
    <w:rsid w:val="00CD19F6"/>
    <w:rsid w:val="00CD3393"/>
    <w:rsid w:val="00CD3823"/>
    <w:rsid w:val="00CD3A41"/>
    <w:rsid w:val="00CD3C75"/>
    <w:rsid w:val="00CD3D7A"/>
    <w:rsid w:val="00CD3F85"/>
    <w:rsid w:val="00CD474C"/>
    <w:rsid w:val="00CD4978"/>
    <w:rsid w:val="00CD49FB"/>
    <w:rsid w:val="00CD4DD2"/>
    <w:rsid w:val="00CD54F4"/>
    <w:rsid w:val="00CD5E97"/>
    <w:rsid w:val="00CD68B9"/>
    <w:rsid w:val="00CD6AC4"/>
    <w:rsid w:val="00CD70BE"/>
    <w:rsid w:val="00CD7149"/>
    <w:rsid w:val="00CD7534"/>
    <w:rsid w:val="00CD760A"/>
    <w:rsid w:val="00CD7661"/>
    <w:rsid w:val="00CD77CC"/>
    <w:rsid w:val="00CD7E24"/>
    <w:rsid w:val="00CE05C8"/>
    <w:rsid w:val="00CE2913"/>
    <w:rsid w:val="00CE2D13"/>
    <w:rsid w:val="00CE3249"/>
    <w:rsid w:val="00CE32C7"/>
    <w:rsid w:val="00CE3560"/>
    <w:rsid w:val="00CE3F97"/>
    <w:rsid w:val="00CE4683"/>
    <w:rsid w:val="00CE504B"/>
    <w:rsid w:val="00CE5608"/>
    <w:rsid w:val="00CE5616"/>
    <w:rsid w:val="00CE5BA5"/>
    <w:rsid w:val="00CE711C"/>
    <w:rsid w:val="00CE73FC"/>
    <w:rsid w:val="00CE745C"/>
    <w:rsid w:val="00CE7A6B"/>
    <w:rsid w:val="00CF02D3"/>
    <w:rsid w:val="00CF0D14"/>
    <w:rsid w:val="00CF14F8"/>
    <w:rsid w:val="00CF26C0"/>
    <w:rsid w:val="00CF2753"/>
    <w:rsid w:val="00CF321D"/>
    <w:rsid w:val="00CF3392"/>
    <w:rsid w:val="00CF39A5"/>
    <w:rsid w:val="00CF4120"/>
    <w:rsid w:val="00CF44D9"/>
    <w:rsid w:val="00CF4A48"/>
    <w:rsid w:val="00CF4E9C"/>
    <w:rsid w:val="00CF53BC"/>
    <w:rsid w:val="00CF6156"/>
    <w:rsid w:val="00CF64A6"/>
    <w:rsid w:val="00CF6955"/>
    <w:rsid w:val="00CF69ED"/>
    <w:rsid w:val="00CF6AEE"/>
    <w:rsid w:val="00CF74D9"/>
    <w:rsid w:val="00CF7B06"/>
    <w:rsid w:val="00CF7ECD"/>
    <w:rsid w:val="00D006C2"/>
    <w:rsid w:val="00D00C0B"/>
    <w:rsid w:val="00D010E1"/>
    <w:rsid w:val="00D014AA"/>
    <w:rsid w:val="00D0164B"/>
    <w:rsid w:val="00D01C6B"/>
    <w:rsid w:val="00D01C92"/>
    <w:rsid w:val="00D03A0D"/>
    <w:rsid w:val="00D0425E"/>
    <w:rsid w:val="00D04BCB"/>
    <w:rsid w:val="00D05202"/>
    <w:rsid w:val="00D05563"/>
    <w:rsid w:val="00D0620F"/>
    <w:rsid w:val="00D0633A"/>
    <w:rsid w:val="00D06630"/>
    <w:rsid w:val="00D06CC5"/>
    <w:rsid w:val="00D06D4F"/>
    <w:rsid w:val="00D072D5"/>
    <w:rsid w:val="00D1050E"/>
    <w:rsid w:val="00D10F5C"/>
    <w:rsid w:val="00D11231"/>
    <w:rsid w:val="00D114C0"/>
    <w:rsid w:val="00D1153B"/>
    <w:rsid w:val="00D1187D"/>
    <w:rsid w:val="00D11CA9"/>
    <w:rsid w:val="00D12166"/>
    <w:rsid w:val="00D132AB"/>
    <w:rsid w:val="00D1388F"/>
    <w:rsid w:val="00D14446"/>
    <w:rsid w:val="00D153F4"/>
    <w:rsid w:val="00D15591"/>
    <w:rsid w:val="00D15A06"/>
    <w:rsid w:val="00D16279"/>
    <w:rsid w:val="00D16574"/>
    <w:rsid w:val="00D16BCB"/>
    <w:rsid w:val="00D16DA3"/>
    <w:rsid w:val="00D16DAC"/>
    <w:rsid w:val="00D17C82"/>
    <w:rsid w:val="00D20077"/>
    <w:rsid w:val="00D22211"/>
    <w:rsid w:val="00D225DF"/>
    <w:rsid w:val="00D22F9C"/>
    <w:rsid w:val="00D23973"/>
    <w:rsid w:val="00D23AA4"/>
    <w:rsid w:val="00D242B9"/>
    <w:rsid w:val="00D2445C"/>
    <w:rsid w:val="00D25149"/>
    <w:rsid w:val="00D25265"/>
    <w:rsid w:val="00D252E4"/>
    <w:rsid w:val="00D2568A"/>
    <w:rsid w:val="00D25940"/>
    <w:rsid w:val="00D259CB"/>
    <w:rsid w:val="00D25A58"/>
    <w:rsid w:val="00D25BC3"/>
    <w:rsid w:val="00D25E16"/>
    <w:rsid w:val="00D25EE3"/>
    <w:rsid w:val="00D262F1"/>
    <w:rsid w:val="00D264DF"/>
    <w:rsid w:val="00D266C5"/>
    <w:rsid w:val="00D266C8"/>
    <w:rsid w:val="00D26820"/>
    <w:rsid w:val="00D275EA"/>
    <w:rsid w:val="00D27D24"/>
    <w:rsid w:val="00D3007F"/>
    <w:rsid w:val="00D30957"/>
    <w:rsid w:val="00D30DB9"/>
    <w:rsid w:val="00D31E0B"/>
    <w:rsid w:val="00D32591"/>
    <w:rsid w:val="00D329D5"/>
    <w:rsid w:val="00D32D28"/>
    <w:rsid w:val="00D32DEC"/>
    <w:rsid w:val="00D335B7"/>
    <w:rsid w:val="00D33669"/>
    <w:rsid w:val="00D336A6"/>
    <w:rsid w:val="00D33916"/>
    <w:rsid w:val="00D3393A"/>
    <w:rsid w:val="00D33992"/>
    <w:rsid w:val="00D33EB0"/>
    <w:rsid w:val="00D341EE"/>
    <w:rsid w:val="00D349E7"/>
    <w:rsid w:val="00D34BF5"/>
    <w:rsid w:val="00D35789"/>
    <w:rsid w:val="00D358A9"/>
    <w:rsid w:val="00D36228"/>
    <w:rsid w:val="00D36252"/>
    <w:rsid w:val="00D36B07"/>
    <w:rsid w:val="00D36CC7"/>
    <w:rsid w:val="00D36F23"/>
    <w:rsid w:val="00D37341"/>
    <w:rsid w:val="00D376CF"/>
    <w:rsid w:val="00D37832"/>
    <w:rsid w:val="00D37EEB"/>
    <w:rsid w:val="00D37EFD"/>
    <w:rsid w:val="00D37FC9"/>
    <w:rsid w:val="00D4019B"/>
    <w:rsid w:val="00D40453"/>
    <w:rsid w:val="00D40556"/>
    <w:rsid w:val="00D412C6"/>
    <w:rsid w:val="00D413BD"/>
    <w:rsid w:val="00D4167C"/>
    <w:rsid w:val="00D41898"/>
    <w:rsid w:val="00D41A9F"/>
    <w:rsid w:val="00D41E62"/>
    <w:rsid w:val="00D422A1"/>
    <w:rsid w:val="00D438E8"/>
    <w:rsid w:val="00D43943"/>
    <w:rsid w:val="00D45AE9"/>
    <w:rsid w:val="00D45D69"/>
    <w:rsid w:val="00D470C0"/>
    <w:rsid w:val="00D47242"/>
    <w:rsid w:val="00D4739A"/>
    <w:rsid w:val="00D47F94"/>
    <w:rsid w:val="00D50431"/>
    <w:rsid w:val="00D51043"/>
    <w:rsid w:val="00D51F1F"/>
    <w:rsid w:val="00D523AD"/>
    <w:rsid w:val="00D526F8"/>
    <w:rsid w:val="00D52A41"/>
    <w:rsid w:val="00D52CFD"/>
    <w:rsid w:val="00D53B27"/>
    <w:rsid w:val="00D54021"/>
    <w:rsid w:val="00D54206"/>
    <w:rsid w:val="00D54ED8"/>
    <w:rsid w:val="00D5598C"/>
    <w:rsid w:val="00D56022"/>
    <w:rsid w:val="00D5637C"/>
    <w:rsid w:val="00D56B94"/>
    <w:rsid w:val="00D56E00"/>
    <w:rsid w:val="00D57559"/>
    <w:rsid w:val="00D57614"/>
    <w:rsid w:val="00D57617"/>
    <w:rsid w:val="00D6004C"/>
    <w:rsid w:val="00D6033A"/>
    <w:rsid w:val="00D60C7E"/>
    <w:rsid w:val="00D61078"/>
    <w:rsid w:val="00D6116C"/>
    <w:rsid w:val="00D615ED"/>
    <w:rsid w:val="00D61ABC"/>
    <w:rsid w:val="00D61C82"/>
    <w:rsid w:val="00D62286"/>
    <w:rsid w:val="00D62A16"/>
    <w:rsid w:val="00D62B09"/>
    <w:rsid w:val="00D62B78"/>
    <w:rsid w:val="00D62D42"/>
    <w:rsid w:val="00D63D71"/>
    <w:rsid w:val="00D63E5E"/>
    <w:rsid w:val="00D642B5"/>
    <w:rsid w:val="00D64607"/>
    <w:rsid w:val="00D64B2E"/>
    <w:rsid w:val="00D65BAB"/>
    <w:rsid w:val="00D66521"/>
    <w:rsid w:val="00D6698E"/>
    <w:rsid w:val="00D67256"/>
    <w:rsid w:val="00D67990"/>
    <w:rsid w:val="00D67C5E"/>
    <w:rsid w:val="00D67FF0"/>
    <w:rsid w:val="00D70181"/>
    <w:rsid w:val="00D7063A"/>
    <w:rsid w:val="00D70ACF"/>
    <w:rsid w:val="00D712CC"/>
    <w:rsid w:val="00D712E2"/>
    <w:rsid w:val="00D713A4"/>
    <w:rsid w:val="00D71A9B"/>
    <w:rsid w:val="00D71C51"/>
    <w:rsid w:val="00D71FA8"/>
    <w:rsid w:val="00D726A1"/>
    <w:rsid w:val="00D72753"/>
    <w:rsid w:val="00D72DB8"/>
    <w:rsid w:val="00D7320A"/>
    <w:rsid w:val="00D73ABA"/>
    <w:rsid w:val="00D744BD"/>
    <w:rsid w:val="00D74504"/>
    <w:rsid w:val="00D74793"/>
    <w:rsid w:val="00D7517E"/>
    <w:rsid w:val="00D75AFD"/>
    <w:rsid w:val="00D76110"/>
    <w:rsid w:val="00D7636F"/>
    <w:rsid w:val="00D76937"/>
    <w:rsid w:val="00D76C7E"/>
    <w:rsid w:val="00D76DD0"/>
    <w:rsid w:val="00D773DB"/>
    <w:rsid w:val="00D776B5"/>
    <w:rsid w:val="00D7786B"/>
    <w:rsid w:val="00D77C63"/>
    <w:rsid w:val="00D77D3A"/>
    <w:rsid w:val="00D8040F"/>
    <w:rsid w:val="00D804EC"/>
    <w:rsid w:val="00D80E7F"/>
    <w:rsid w:val="00D8149D"/>
    <w:rsid w:val="00D81D48"/>
    <w:rsid w:val="00D81FF1"/>
    <w:rsid w:val="00D82225"/>
    <w:rsid w:val="00D82545"/>
    <w:rsid w:val="00D826DD"/>
    <w:rsid w:val="00D82717"/>
    <w:rsid w:val="00D82A85"/>
    <w:rsid w:val="00D82DFF"/>
    <w:rsid w:val="00D8305B"/>
    <w:rsid w:val="00D8374C"/>
    <w:rsid w:val="00D8474B"/>
    <w:rsid w:val="00D86137"/>
    <w:rsid w:val="00D86377"/>
    <w:rsid w:val="00D864D0"/>
    <w:rsid w:val="00D86A18"/>
    <w:rsid w:val="00D86BCD"/>
    <w:rsid w:val="00D86DA9"/>
    <w:rsid w:val="00D86E99"/>
    <w:rsid w:val="00D8723C"/>
    <w:rsid w:val="00D8735A"/>
    <w:rsid w:val="00D87575"/>
    <w:rsid w:val="00D87F75"/>
    <w:rsid w:val="00D905F6"/>
    <w:rsid w:val="00D90663"/>
    <w:rsid w:val="00D90CBB"/>
    <w:rsid w:val="00D9106E"/>
    <w:rsid w:val="00D91291"/>
    <w:rsid w:val="00D913A8"/>
    <w:rsid w:val="00D92836"/>
    <w:rsid w:val="00D92B43"/>
    <w:rsid w:val="00D934C5"/>
    <w:rsid w:val="00D93516"/>
    <w:rsid w:val="00D93C67"/>
    <w:rsid w:val="00D94DD3"/>
    <w:rsid w:val="00D94F01"/>
    <w:rsid w:val="00D951B4"/>
    <w:rsid w:val="00D95564"/>
    <w:rsid w:val="00D95EF9"/>
    <w:rsid w:val="00D964CF"/>
    <w:rsid w:val="00D96778"/>
    <w:rsid w:val="00D96795"/>
    <w:rsid w:val="00D967F6"/>
    <w:rsid w:val="00D967FE"/>
    <w:rsid w:val="00D971B8"/>
    <w:rsid w:val="00D97291"/>
    <w:rsid w:val="00D972D6"/>
    <w:rsid w:val="00D97D37"/>
    <w:rsid w:val="00DA05C1"/>
    <w:rsid w:val="00DA0A4E"/>
    <w:rsid w:val="00DA134D"/>
    <w:rsid w:val="00DA177F"/>
    <w:rsid w:val="00DA29F0"/>
    <w:rsid w:val="00DA39CA"/>
    <w:rsid w:val="00DA3C0B"/>
    <w:rsid w:val="00DA4034"/>
    <w:rsid w:val="00DA4719"/>
    <w:rsid w:val="00DA5720"/>
    <w:rsid w:val="00DA59A4"/>
    <w:rsid w:val="00DA5B24"/>
    <w:rsid w:val="00DA63AB"/>
    <w:rsid w:val="00DA66BB"/>
    <w:rsid w:val="00DA6815"/>
    <w:rsid w:val="00DA6D08"/>
    <w:rsid w:val="00DA7374"/>
    <w:rsid w:val="00DA7904"/>
    <w:rsid w:val="00DA7A55"/>
    <w:rsid w:val="00DA7A5A"/>
    <w:rsid w:val="00DA7BC8"/>
    <w:rsid w:val="00DA7E90"/>
    <w:rsid w:val="00DA7EB3"/>
    <w:rsid w:val="00DB0269"/>
    <w:rsid w:val="00DB08E0"/>
    <w:rsid w:val="00DB1345"/>
    <w:rsid w:val="00DB1DB9"/>
    <w:rsid w:val="00DB1FD0"/>
    <w:rsid w:val="00DB2173"/>
    <w:rsid w:val="00DB238E"/>
    <w:rsid w:val="00DB24C6"/>
    <w:rsid w:val="00DB282E"/>
    <w:rsid w:val="00DB2BA3"/>
    <w:rsid w:val="00DB3A5B"/>
    <w:rsid w:val="00DB40BC"/>
    <w:rsid w:val="00DB4425"/>
    <w:rsid w:val="00DB4956"/>
    <w:rsid w:val="00DB4D09"/>
    <w:rsid w:val="00DB5380"/>
    <w:rsid w:val="00DB5464"/>
    <w:rsid w:val="00DB5D31"/>
    <w:rsid w:val="00DB641B"/>
    <w:rsid w:val="00DB69BB"/>
    <w:rsid w:val="00DB6C06"/>
    <w:rsid w:val="00DB7821"/>
    <w:rsid w:val="00DB7D5A"/>
    <w:rsid w:val="00DB7D74"/>
    <w:rsid w:val="00DC17B7"/>
    <w:rsid w:val="00DC28A4"/>
    <w:rsid w:val="00DC3051"/>
    <w:rsid w:val="00DC30FC"/>
    <w:rsid w:val="00DC3194"/>
    <w:rsid w:val="00DC3984"/>
    <w:rsid w:val="00DC3C35"/>
    <w:rsid w:val="00DC3C47"/>
    <w:rsid w:val="00DC3DFF"/>
    <w:rsid w:val="00DC43BD"/>
    <w:rsid w:val="00DC43FB"/>
    <w:rsid w:val="00DC5186"/>
    <w:rsid w:val="00DC579B"/>
    <w:rsid w:val="00DC589E"/>
    <w:rsid w:val="00DC62D0"/>
    <w:rsid w:val="00DC6661"/>
    <w:rsid w:val="00DC6A58"/>
    <w:rsid w:val="00DC6C9B"/>
    <w:rsid w:val="00DC6D27"/>
    <w:rsid w:val="00DC7544"/>
    <w:rsid w:val="00DC775E"/>
    <w:rsid w:val="00DC7D2D"/>
    <w:rsid w:val="00DC7E65"/>
    <w:rsid w:val="00DD0071"/>
    <w:rsid w:val="00DD0244"/>
    <w:rsid w:val="00DD033D"/>
    <w:rsid w:val="00DD0474"/>
    <w:rsid w:val="00DD06BF"/>
    <w:rsid w:val="00DD0909"/>
    <w:rsid w:val="00DD1144"/>
    <w:rsid w:val="00DD116E"/>
    <w:rsid w:val="00DD186A"/>
    <w:rsid w:val="00DD199A"/>
    <w:rsid w:val="00DD1B95"/>
    <w:rsid w:val="00DD1D10"/>
    <w:rsid w:val="00DD2750"/>
    <w:rsid w:val="00DD2A53"/>
    <w:rsid w:val="00DD2CFC"/>
    <w:rsid w:val="00DD2DFA"/>
    <w:rsid w:val="00DD2F7A"/>
    <w:rsid w:val="00DD31DC"/>
    <w:rsid w:val="00DD326A"/>
    <w:rsid w:val="00DD366D"/>
    <w:rsid w:val="00DD3771"/>
    <w:rsid w:val="00DD39D1"/>
    <w:rsid w:val="00DD449C"/>
    <w:rsid w:val="00DD477E"/>
    <w:rsid w:val="00DD4D49"/>
    <w:rsid w:val="00DD515E"/>
    <w:rsid w:val="00DD5294"/>
    <w:rsid w:val="00DD5509"/>
    <w:rsid w:val="00DD5A0F"/>
    <w:rsid w:val="00DD5DD2"/>
    <w:rsid w:val="00DD6218"/>
    <w:rsid w:val="00DD66C9"/>
    <w:rsid w:val="00DD6D99"/>
    <w:rsid w:val="00DD6E85"/>
    <w:rsid w:val="00DD6FB0"/>
    <w:rsid w:val="00DD789F"/>
    <w:rsid w:val="00DD7E2E"/>
    <w:rsid w:val="00DD7E69"/>
    <w:rsid w:val="00DE063B"/>
    <w:rsid w:val="00DE0A86"/>
    <w:rsid w:val="00DE10E2"/>
    <w:rsid w:val="00DE14E9"/>
    <w:rsid w:val="00DE18B6"/>
    <w:rsid w:val="00DE1ACF"/>
    <w:rsid w:val="00DE34AB"/>
    <w:rsid w:val="00DE488C"/>
    <w:rsid w:val="00DE4D45"/>
    <w:rsid w:val="00DE6050"/>
    <w:rsid w:val="00DE61E4"/>
    <w:rsid w:val="00DE6FE6"/>
    <w:rsid w:val="00DE74D6"/>
    <w:rsid w:val="00DE77C8"/>
    <w:rsid w:val="00DE7D79"/>
    <w:rsid w:val="00DF0691"/>
    <w:rsid w:val="00DF0C47"/>
    <w:rsid w:val="00DF11F6"/>
    <w:rsid w:val="00DF2131"/>
    <w:rsid w:val="00DF225C"/>
    <w:rsid w:val="00DF4508"/>
    <w:rsid w:val="00DF4753"/>
    <w:rsid w:val="00DF48DD"/>
    <w:rsid w:val="00DF48FF"/>
    <w:rsid w:val="00DF49D6"/>
    <w:rsid w:val="00DF5278"/>
    <w:rsid w:val="00DF5376"/>
    <w:rsid w:val="00DF53F0"/>
    <w:rsid w:val="00DF567A"/>
    <w:rsid w:val="00DF5892"/>
    <w:rsid w:val="00DF5D85"/>
    <w:rsid w:val="00DF6046"/>
    <w:rsid w:val="00DF6C52"/>
    <w:rsid w:val="00DF728D"/>
    <w:rsid w:val="00DF7647"/>
    <w:rsid w:val="00DF7815"/>
    <w:rsid w:val="00DF792E"/>
    <w:rsid w:val="00DF794E"/>
    <w:rsid w:val="00DF7FE9"/>
    <w:rsid w:val="00E00754"/>
    <w:rsid w:val="00E008CE"/>
    <w:rsid w:val="00E00A0C"/>
    <w:rsid w:val="00E00D7B"/>
    <w:rsid w:val="00E0154E"/>
    <w:rsid w:val="00E018EA"/>
    <w:rsid w:val="00E01BAD"/>
    <w:rsid w:val="00E02619"/>
    <w:rsid w:val="00E02BC9"/>
    <w:rsid w:val="00E02D4B"/>
    <w:rsid w:val="00E039E9"/>
    <w:rsid w:val="00E04072"/>
    <w:rsid w:val="00E040DA"/>
    <w:rsid w:val="00E04193"/>
    <w:rsid w:val="00E04421"/>
    <w:rsid w:val="00E044DE"/>
    <w:rsid w:val="00E04701"/>
    <w:rsid w:val="00E047C3"/>
    <w:rsid w:val="00E050F5"/>
    <w:rsid w:val="00E057CC"/>
    <w:rsid w:val="00E06474"/>
    <w:rsid w:val="00E0657F"/>
    <w:rsid w:val="00E070C2"/>
    <w:rsid w:val="00E071A0"/>
    <w:rsid w:val="00E0720C"/>
    <w:rsid w:val="00E07561"/>
    <w:rsid w:val="00E07F6C"/>
    <w:rsid w:val="00E07F7C"/>
    <w:rsid w:val="00E10103"/>
    <w:rsid w:val="00E10114"/>
    <w:rsid w:val="00E10115"/>
    <w:rsid w:val="00E1047D"/>
    <w:rsid w:val="00E1053E"/>
    <w:rsid w:val="00E1071C"/>
    <w:rsid w:val="00E1109D"/>
    <w:rsid w:val="00E114CE"/>
    <w:rsid w:val="00E1162D"/>
    <w:rsid w:val="00E11EE3"/>
    <w:rsid w:val="00E12096"/>
    <w:rsid w:val="00E126C7"/>
    <w:rsid w:val="00E127AE"/>
    <w:rsid w:val="00E12CC7"/>
    <w:rsid w:val="00E13ABB"/>
    <w:rsid w:val="00E13EAF"/>
    <w:rsid w:val="00E1407C"/>
    <w:rsid w:val="00E14BE6"/>
    <w:rsid w:val="00E14D69"/>
    <w:rsid w:val="00E14F18"/>
    <w:rsid w:val="00E14F24"/>
    <w:rsid w:val="00E1551F"/>
    <w:rsid w:val="00E156E6"/>
    <w:rsid w:val="00E15A04"/>
    <w:rsid w:val="00E15DA6"/>
    <w:rsid w:val="00E15EBE"/>
    <w:rsid w:val="00E15F45"/>
    <w:rsid w:val="00E16387"/>
    <w:rsid w:val="00E168D0"/>
    <w:rsid w:val="00E16A40"/>
    <w:rsid w:val="00E16CE0"/>
    <w:rsid w:val="00E178DF"/>
    <w:rsid w:val="00E17ACD"/>
    <w:rsid w:val="00E20129"/>
    <w:rsid w:val="00E2016B"/>
    <w:rsid w:val="00E20383"/>
    <w:rsid w:val="00E203F9"/>
    <w:rsid w:val="00E20F1C"/>
    <w:rsid w:val="00E21112"/>
    <w:rsid w:val="00E219C2"/>
    <w:rsid w:val="00E22695"/>
    <w:rsid w:val="00E22C8D"/>
    <w:rsid w:val="00E2329E"/>
    <w:rsid w:val="00E23650"/>
    <w:rsid w:val="00E23C06"/>
    <w:rsid w:val="00E24097"/>
    <w:rsid w:val="00E243BF"/>
    <w:rsid w:val="00E24793"/>
    <w:rsid w:val="00E2507C"/>
    <w:rsid w:val="00E25494"/>
    <w:rsid w:val="00E263DB"/>
    <w:rsid w:val="00E269A6"/>
    <w:rsid w:val="00E27165"/>
    <w:rsid w:val="00E27F00"/>
    <w:rsid w:val="00E30700"/>
    <w:rsid w:val="00E30979"/>
    <w:rsid w:val="00E30EF3"/>
    <w:rsid w:val="00E311AC"/>
    <w:rsid w:val="00E3231F"/>
    <w:rsid w:val="00E32BB7"/>
    <w:rsid w:val="00E32CA6"/>
    <w:rsid w:val="00E32D99"/>
    <w:rsid w:val="00E32FD2"/>
    <w:rsid w:val="00E33165"/>
    <w:rsid w:val="00E33E00"/>
    <w:rsid w:val="00E3439B"/>
    <w:rsid w:val="00E352CB"/>
    <w:rsid w:val="00E355BB"/>
    <w:rsid w:val="00E37B67"/>
    <w:rsid w:val="00E40275"/>
    <w:rsid w:val="00E40334"/>
    <w:rsid w:val="00E4048C"/>
    <w:rsid w:val="00E404C3"/>
    <w:rsid w:val="00E40568"/>
    <w:rsid w:val="00E4091E"/>
    <w:rsid w:val="00E40ABA"/>
    <w:rsid w:val="00E4393A"/>
    <w:rsid w:val="00E43DA1"/>
    <w:rsid w:val="00E4446D"/>
    <w:rsid w:val="00E4447A"/>
    <w:rsid w:val="00E44D0F"/>
    <w:rsid w:val="00E44DB0"/>
    <w:rsid w:val="00E44EB5"/>
    <w:rsid w:val="00E44F83"/>
    <w:rsid w:val="00E47F00"/>
    <w:rsid w:val="00E5006B"/>
    <w:rsid w:val="00E50AE2"/>
    <w:rsid w:val="00E50CB9"/>
    <w:rsid w:val="00E50F36"/>
    <w:rsid w:val="00E512D1"/>
    <w:rsid w:val="00E51387"/>
    <w:rsid w:val="00E51505"/>
    <w:rsid w:val="00E5155E"/>
    <w:rsid w:val="00E52594"/>
    <w:rsid w:val="00E5296E"/>
    <w:rsid w:val="00E53765"/>
    <w:rsid w:val="00E53DEA"/>
    <w:rsid w:val="00E54104"/>
    <w:rsid w:val="00E5457B"/>
    <w:rsid w:val="00E54D7F"/>
    <w:rsid w:val="00E551B1"/>
    <w:rsid w:val="00E551F5"/>
    <w:rsid w:val="00E55793"/>
    <w:rsid w:val="00E565B1"/>
    <w:rsid w:val="00E56977"/>
    <w:rsid w:val="00E56A04"/>
    <w:rsid w:val="00E573DC"/>
    <w:rsid w:val="00E575A8"/>
    <w:rsid w:val="00E601A5"/>
    <w:rsid w:val="00E6083F"/>
    <w:rsid w:val="00E60997"/>
    <w:rsid w:val="00E609A2"/>
    <w:rsid w:val="00E60B43"/>
    <w:rsid w:val="00E60D9F"/>
    <w:rsid w:val="00E61868"/>
    <w:rsid w:val="00E62652"/>
    <w:rsid w:val="00E62964"/>
    <w:rsid w:val="00E6310F"/>
    <w:rsid w:val="00E63AEB"/>
    <w:rsid w:val="00E63EFD"/>
    <w:rsid w:val="00E64433"/>
    <w:rsid w:val="00E64719"/>
    <w:rsid w:val="00E64B52"/>
    <w:rsid w:val="00E65040"/>
    <w:rsid w:val="00E65390"/>
    <w:rsid w:val="00E65974"/>
    <w:rsid w:val="00E65A3B"/>
    <w:rsid w:val="00E65F68"/>
    <w:rsid w:val="00E668E2"/>
    <w:rsid w:val="00E66ACF"/>
    <w:rsid w:val="00E66FF4"/>
    <w:rsid w:val="00E674E6"/>
    <w:rsid w:val="00E67BCD"/>
    <w:rsid w:val="00E711DB"/>
    <w:rsid w:val="00E71952"/>
    <w:rsid w:val="00E71C0B"/>
    <w:rsid w:val="00E72C5D"/>
    <w:rsid w:val="00E73963"/>
    <w:rsid w:val="00E73AB7"/>
    <w:rsid w:val="00E73BCC"/>
    <w:rsid w:val="00E73D7D"/>
    <w:rsid w:val="00E7400A"/>
    <w:rsid w:val="00E74411"/>
    <w:rsid w:val="00E74AFE"/>
    <w:rsid w:val="00E76386"/>
    <w:rsid w:val="00E76A47"/>
    <w:rsid w:val="00E76EB6"/>
    <w:rsid w:val="00E7741E"/>
    <w:rsid w:val="00E77776"/>
    <w:rsid w:val="00E77A86"/>
    <w:rsid w:val="00E809A1"/>
    <w:rsid w:val="00E80D89"/>
    <w:rsid w:val="00E81518"/>
    <w:rsid w:val="00E818AB"/>
    <w:rsid w:val="00E81FA6"/>
    <w:rsid w:val="00E82256"/>
    <w:rsid w:val="00E82758"/>
    <w:rsid w:val="00E82867"/>
    <w:rsid w:val="00E828F2"/>
    <w:rsid w:val="00E82B21"/>
    <w:rsid w:val="00E83789"/>
    <w:rsid w:val="00E83E01"/>
    <w:rsid w:val="00E83F51"/>
    <w:rsid w:val="00E8453E"/>
    <w:rsid w:val="00E85393"/>
    <w:rsid w:val="00E85BC9"/>
    <w:rsid w:val="00E86A1D"/>
    <w:rsid w:val="00E86BD5"/>
    <w:rsid w:val="00E86D37"/>
    <w:rsid w:val="00E8724E"/>
    <w:rsid w:val="00E8731C"/>
    <w:rsid w:val="00E8776F"/>
    <w:rsid w:val="00E87D67"/>
    <w:rsid w:val="00E90BFE"/>
    <w:rsid w:val="00E919D9"/>
    <w:rsid w:val="00E91A1F"/>
    <w:rsid w:val="00E91A5B"/>
    <w:rsid w:val="00E91C09"/>
    <w:rsid w:val="00E9236B"/>
    <w:rsid w:val="00E92743"/>
    <w:rsid w:val="00E92A77"/>
    <w:rsid w:val="00E92D37"/>
    <w:rsid w:val="00E938E4"/>
    <w:rsid w:val="00E939D6"/>
    <w:rsid w:val="00E93B0F"/>
    <w:rsid w:val="00E93F66"/>
    <w:rsid w:val="00E94BB1"/>
    <w:rsid w:val="00E94E82"/>
    <w:rsid w:val="00E9538C"/>
    <w:rsid w:val="00E95841"/>
    <w:rsid w:val="00E96407"/>
    <w:rsid w:val="00E967DC"/>
    <w:rsid w:val="00E96848"/>
    <w:rsid w:val="00E96A7F"/>
    <w:rsid w:val="00E972F3"/>
    <w:rsid w:val="00E9777D"/>
    <w:rsid w:val="00E979BE"/>
    <w:rsid w:val="00EA02F5"/>
    <w:rsid w:val="00EA0932"/>
    <w:rsid w:val="00EA09AA"/>
    <w:rsid w:val="00EA13A9"/>
    <w:rsid w:val="00EA1995"/>
    <w:rsid w:val="00EA1C9B"/>
    <w:rsid w:val="00EA1D98"/>
    <w:rsid w:val="00EA2B1D"/>
    <w:rsid w:val="00EA2DB8"/>
    <w:rsid w:val="00EA360F"/>
    <w:rsid w:val="00EA3D2A"/>
    <w:rsid w:val="00EA3F4D"/>
    <w:rsid w:val="00EA3F6A"/>
    <w:rsid w:val="00EA422A"/>
    <w:rsid w:val="00EA4586"/>
    <w:rsid w:val="00EA46F0"/>
    <w:rsid w:val="00EA4C95"/>
    <w:rsid w:val="00EA5158"/>
    <w:rsid w:val="00EA5265"/>
    <w:rsid w:val="00EA52BE"/>
    <w:rsid w:val="00EA5389"/>
    <w:rsid w:val="00EA5CAF"/>
    <w:rsid w:val="00EA5F74"/>
    <w:rsid w:val="00EA6277"/>
    <w:rsid w:val="00EA6D76"/>
    <w:rsid w:val="00EA6E60"/>
    <w:rsid w:val="00EA760A"/>
    <w:rsid w:val="00EA7861"/>
    <w:rsid w:val="00EA7C8A"/>
    <w:rsid w:val="00EB0456"/>
    <w:rsid w:val="00EB162F"/>
    <w:rsid w:val="00EB1A0D"/>
    <w:rsid w:val="00EB1F9C"/>
    <w:rsid w:val="00EB2059"/>
    <w:rsid w:val="00EB2106"/>
    <w:rsid w:val="00EB28F1"/>
    <w:rsid w:val="00EB3637"/>
    <w:rsid w:val="00EB43DB"/>
    <w:rsid w:val="00EB4BBD"/>
    <w:rsid w:val="00EB569C"/>
    <w:rsid w:val="00EB5832"/>
    <w:rsid w:val="00EB5E7E"/>
    <w:rsid w:val="00EB68B5"/>
    <w:rsid w:val="00EB70AB"/>
    <w:rsid w:val="00EB76B4"/>
    <w:rsid w:val="00EB7907"/>
    <w:rsid w:val="00EB7B16"/>
    <w:rsid w:val="00EC051F"/>
    <w:rsid w:val="00EC147E"/>
    <w:rsid w:val="00EC1E4E"/>
    <w:rsid w:val="00EC2A74"/>
    <w:rsid w:val="00EC2ABE"/>
    <w:rsid w:val="00EC2BA3"/>
    <w:rsid w:val="00EC3465"/>
    <w:rsid w:val="00EC415E"/>
    <w:rsid w:val="00EC45BD"/>
    <w:rsid w:val="00EC4818"/>
    <w:rsid w:val="00EC4B63"/>
    <w:rsid w:val="00EC531D"/>
    <w:rsid w:val="00EC5D99"/>
    <w:rsid w:val="00EC5DEB"/>
    <w:rsid w:val="00EC5EBA"/>
    <w:rsid w:val="00EC6B08"/>
    <w:rsid w:val="00EC6D56"/>
    <w:rsid w:val="00EC74C7"/>
    <w:rsid w:val="00EC75BC"/>
    <w:rsid w:val="00EC7705"/>
    <w:rsid w:val="00EC7A67"/>
    <w:rsid w:val="00ED030C"/>
    <w:rsid w:val="00ED09E4"/>
    <w:rsid w:val="00ED0A18"/>
    <w:rsid w:val="00ED0B93"/>
    <w:rsid w:val="00ED0CF1"/>
    <w:rsid w:val="00ED1159"/>
    <w:rsid w:val="00ED17B7"/>
    <w:rsid w:val="00ED1BC4"/>
    <w:rsid w:val="00ED2865"/>
    <w:rsid w:val="00ED2A13"/>
    <w:rsid w:val="00ED2E6C"/>
    <w:rsid w:val="00ED327A"/>
    <w:rsid w:val="00ED34F6"/>
    <w:rsid w:val="00ED3927"/>
    <w:rsid w:val="00ED3C6E"/>
    <w:rsid w:val="00ED437A"/>
    <w:rsid w:val="00ED4A68"/>
    <w:rsid w:val="00ED4DBA"/>
    <w:rsid w:val="00ED51D3"/>
    <w:rsid w:val="00ED53EB"/>
    <w:rsid w:val="00ED5549"/>
    <w:rsid w:val="00ED5F42"/>
    <w:rsid w:val="00ED60ED"/>
    <w:rsid w:val="00ED6404"/>
    <w:rsid w:val="00ED64CA"/>
    <w:rsid w:val="00ED679B"/>
    <w:rsid w:val="00ED68D5"/>
    <w:rsid w:val="00ED709C"/>
    <w:rsid w:val="00ED75F4"/>
    <w:rsid w:val="00ED7E71"/>
    <w:rsid w:val="00EE00CE"/>
    <w:rsid w:val="00EE0D68"/>
    <w:rsid w:val="00EE0D7B"/>
    <w:rsid w:val="00EE2E83"/>
    <w:rsid w:val="00EE2F0A"/>
    <w:rsid w:val="00EE31EB"/>
    <w:rsid w:val="00EE32EA"/>
    <w:rsid w:val="00EE3365"/>
    <w:rsid w:val="00EE3BC8"/>
    <w:rsid w:val="00EE4179"/>
    <w:rsid w:val="00EE4203"/>
    <w:rsid w:val="00EE52F0"/>
    <w:rsid w:val="00EE5439"/>
    <w:rsid w:val="00EE5773"/>
    <w:rsid w:val="00EE5936"/>
    <w:rsid w:val="00EE6D19"/>
    <w:rsid w:val="00EE753B"/>
    <w:rsid w:val="00EE7AD6"/>
    <w:rsid w:val="00EE7D34"/>
    <w:rsid w:val="00EE7D99"/>
    <w:rsid w:val="00EE7EFB"/>
    <w:rsid w:val="00EF061C"/>
    <w:rsid w:val="00EF07CE"/>
    <w:rsid w:val="00EF0F5A"/>
    <w:rsid w:val="00EF0F9C"/>
    <w:rsid w:val="00EF1445"/>
    <w:rsid w:val="00EF15BE"/>
    <w:rsid w:val="00EF188C"/>
    <w:rsid w:val="00EF2444"/>
    <w:rsid w:val="00EF24A6"/>
    <w:rsid w:val="00EF2B57"/>
    <w:rsid w:val="00EF2D1C"/>
    <w:rsid w:val="00EF33F8"/>
    <w:rsid w:val="00EF39EC"/>
    <w:rsid w:val="00EF3BF9"/>
    <w:rsid w:val="00EF422C"/>
    <w:rsid w:val="00EF4E8B"/>
    <w:rsid w:val="00EF5853"/>
    <w:rsid w:val="00EF5B07"/>
    <w:rsid w:val="00EF5BC3"/>
    <w:rsid w:val="00EF5BCE"/>
    <w:rsid w:val="00EF64D7"/>
    <w:rsid w:val="00EF69DA"/>
    <w:rsid w:val="00EF6CC0"/>
    <w:rsid w:val="00EF75C6"/>
    <w:rsid w:val="00EF7C97"/>
    <w:rsid w:val="00F00390"/>
    <w:rsid w:val="00F004C7"/>
    <w:rsid w:val="00F00633"/>
    <w:rsid w:val="00F00760"/>
    <w:rsid w:val="00F01488"/>
    <w:rsid w:val="00F01B54"/>
    <w:rsid w:val="00F01D40"/>
    <w:rsid w:val="00F01FCC"/>
    <w:rsid w:val="00F026FB"/>
    <w:rsid w:val="00F02BEC"/>
    <w:rsid w:val="00F03F63"/>
    <w:rsid w:val="00F0564D"/>
    <w:rsid w:val="00F05B3B"/>
    <w:rsid w:val="00F05CD9"/>
    <w:rsid w:val="00F05DB7"/>
    <w:rsid w:val="00F06749"/>
    <w:rsid w:val="00F06AD7"/>
    <w:rsid w:val="00F07656"/>
    <w:rsid w:val="00F078A6"/>
    <w:rsid w:val="00F10815"/>
    <w:rsid w:val="00F10C64"/>
    <w:rsid w:val="00F11318"/>
    <w:rsid w:val="00F11585"/>
    <w:rsid w:val="00F1291B"/>
    <w:rsid w:val="00F1324E"/>
    <w:rsid w:val="00F134BB"/>
    <w:rsid w:val="00F135B1"/>
    <w:rsid w:val="00F13AE6"/>
    <w:rsid w:val="00F13CE7"/>
    <w:rsid w:val="00F13F92"/>
    <w:rsid w:val="00F14839"/>
    <w:rsid w:val="00F15B35"/>
    <w:rsid w:val="00F16EA8"/>
    <w:rsid w:val="00F17234"/>
    <w:rsid w:val="00F17399"/>
    <w:rsid w:val="00F1744D"/>
    <w:rsid w:val="00F1776D"/>
    <w:rsid w:val="00F1792B"/>
    <w:rsid w:val="00F17E40"/>
    <w:rsid w:val="00F1CBF1"/>
    <w:rsid w:val="00F2080F"/>
    <w:rsid w:val="00F20BE2"/>
    <w:rsid w:val="00F20E69"/>
    <w:rsid w:val="00F211FB"/>
    <w:rsid w:val="00F2135D"/>
    <w:rsid w:val="00F213C4"/>
    <w:rsid w:val="00F21D9B"/>
    <w:rsid w:val="00F22044"/>
    <w:rsid w:val="00F2288F"/>
    <w:rsid w:val="00F22CD7"/>
    <w:rsid w:val="00F23ABA"/>
    <w:rsid w:val="00F23B12"/>
    <w:rsid w:val="00F24185"/>
    <w:rsid w:val="00F24A12"/>
    <w:rsid w:val="00F24FAF"/>
    <w:rsid w:val="00F252A0"/>
    <w:rsid w:val="00F25E3F"/>
    <w:rsid w:val="00F265E6"/>
    <w:rsid w:val="00F2670C"/>
    <w:rsid w:val="00F26B69"/>
    <w:rsid w:val="00F26DEE"/>
    <w:rsid w:val="00F26F9F"/>
    <w:rsid w:val="00F27533"/>
    <w:rsid w:val="00F2784D"/>
    <w:rsid w:val="00F27D0D"/>
    <w:rsid w:val="00F27F04"/>
    <w:rsid w:val="00F27F7D"/>
    <w:rsid w:val="00F303C0"/>
    <w:rsid w:val="00F30F4A"/>
    <w:rsid w:val="00F3128D"/>
    <w:rsid w:val="00F318A5"/>
    <w:rsid w:val="00F31D67"/>
    <w:rsid w:val="00F328CE"/>
    <w:rsid w:val="00F336CD"/>
    <w:rsid w:val="00F33BBB"/>
    <w:rsid w:val="00F3405B"/>
    <w:rsid w:val="00F34AFF"/>
    <w:rsid w:val="00F350CE"/>
    <w:rsid w:val="00F35561"/>
    <w:rsid w:val="00F35B03"/>
    <w:rsid w:val="00F367A9"/>
    <w:rsid w:val="00F3709E"/>
    <w:rsid w:val="00F379C7"/>
    <w:rsid w:val="00F37FD5"/>
    <w:rsid w:val="00F40905"/>
    <w:rsid w:val="00F40D49"/>
    <w:rsid w:val="00F41814"/>
    <w:rsid w:val="00F429C8"/>
    <w:rsid w:val="00F42AC1"/>
    <w:rsid w:val="00F42B56"/>
    <w:rsid w:val="00F42D41"/>
    <w:rsid w:val="00F42F6D"/>
    <w:rsid w:val="00F43376"/>
    <w:rsid w:val="00F43494"/>
    <w:rsid w:val="00F435B6"/>
    <w:rsid w:val="00F43AD4"/>
    <w:rsid w:val="00F43C72"/>
    <w:rsid w:val="00F440F9"/>
    <w:rsid w:val="00F4426E"/>
    <w:rsid w:val="00F445FF"/>
    <w:rsid w:val="00F45304"/>
    <w:rsid w:val="00F458F0"/>
    <w:rsid w:val="00F45F18"/>
    <w:rsid w:val="00F460CB"/>
    <w:rsid w:val="00F4644B"/>
    <w:rsid w:val="00F47516"/>
    <w:rsid w:val="00F476C5"/>
    <w:rsid w:val="00F47940"/>
    <w:rsid w:val="00F502C4"/>
    <w:rsid w:val="00F508E2"/>
    <w:rsid w:val="00F512A2"/>
    <w:rsid w:val="00F52206"/>
    <w:rsid w:val="00F524C1"/>
    <w:rsid w:val="00F527FC"/>
    <w:rsid w:val="00F5299D"/>
    <w:rsid w:val="00F5346D"/>
    <w:rsid w:val="00F53E1E"/>
    <w:rsid w:val="00F54225"/>
    <w:rsid w:val="00F5434A"/>
    <w:rsid w:val="00F54905"/>
    <w:rsid w:val="00F5495B"/>
    <w:rsid w:val="00F54F56"/>
    <w:rsid w:val="00F56ECC"/>
    <w:rsid w:val="00F575A8"/>
    <w:rsid w:val="00F578F8"/>
    <w:rsid w:val="00F60163"/>
    <w:rsid w:val="00F602F7"/>
    <w:rsid w:val="00F609B5"/>
    <w:rsid w:val="00F610E4"/>
    <w:rsid w:val="00F61496"/>
    <w:rsid w:val="00F61877"/>
    <w:rsid w:val="00F61C17"/>
    <w:rsid w:val="00F62BAA"/>
    <w:rsid w:val="00F63D6B"/>
    <w:rsid w:val="00F63F03"/>
    <w:rsid w:val="00F64176"/>
    <w:rsid w:val="00F649A9"/>
    <w:rsid w:val="00F6549E"/>
    <w:rsid w:val="00F65702"/>
    <w:rsid w:val="00F657D6"/>
    <w:rsid w:val="00F65D61"/>
    <w:rsid w:val="00F65DE4"/>
    <w:rsid w:val="00F660D4"/>
    <w:rsid w:val="00F66AC3"/>
    <w:rsid w:val="00F67243"/>
    <w:rsid w:val="00F67BA2"/>
    <w:rsid w:val="00F700FF"/>
    <w:rsid w:val="00F701F5"/>
    <w:rsid w:val="00F7058B"/>
    <w:rsid w:val="00F707A7"/>
    <w:rsid w:val="00F70AD1"/>
    <w:rsid w:val="00F70B02"/>
    <w:rsid w:val="00F70BEA"/>
    <w:rsid w:val="00F70E18"/>
    <w:rsid w:val="00F7136D"/>
    <w:rsid w:val="00F7143B"/>
    <w:rsid w:val="00F7185D"/>
    <w:rsid w:val="00F71ADD"/>
    <w:rsid w:val="00F71DDB"/>
    <w:rsid w:val="00F72499"/>
    <w:rsid w:val="00F725C2"/>
    <w:rsid w:val="00F72920"/>
    <w:rsid w:val="00F72BDA"/>
    <w:rsid w:val="00F734A5"/>
    <w:rsid w:val="00F735BD"/>
    <w:rsid w:val="00F74DF0"/>
    <w:rsid w:val="00F7541C"/>
    <w:rsid w:val="00F75F55"/>
    <w:rsid w:val="00F76D36"/>
    <w:rsid w:val="00F76DAB"/>
    <w:rsid w:val="00F770AA"/>
    <w:rsid w:val="00F772D8"/>
    <w:rsid w:val="00F77652"/>
    <w:rsid w:val="00F77687"/>
    <w:rsid w:val="00F8025A"/>
    <w:rsid w:val="00F808FA"/>
    <w:rsid w:val="00F81144"/>
    <w:rsid w:val="00F8116B"/>
    <w:rsid w:val="00F8150B"/>
    <w:rsid w:val="00F8182E"/>
    <w:rsid w:val="00F819E2"/>
    <w:rsid w:val="00F81CA6"/>
    <w:rsid w:val="00F82478"/>
    <w:rsid w:val="00F82830"/>
    <w:rsid w:val="00F828ED"/>
    <w:rsid w:val="00F82B4C"/>
    <w:rsid w:val="00F8325B"/>
    <w:rsid w:val="00F8337A"/>
    <w:rsid w:val="00F8377E"/>
    <w:rsid w:val="00F83DCE"/>
    <w:rsid w:val="00F84C0B"/>
    <w:rsid w:val="00F84D86"/>
    <w:rsid w:val="00F85A78"/>
    <w:rsid w:val="00F85B25"/>
    <w:rsid w:val="00F8641A"/>
    <w:rsid w:val="00F8696F"/>
    <w:rsid w:val="00F86AC6"/>
    <w:rsid w:val="00F87941"/>
    <w:rsid w:val="00F87D12"/>
    <w:rsid w:val="00F9112F"/>
    <w:rsid w:val="00F91662"/>
    <w:rsid w:val="00F917D4"/>
    <w:rsid w:val="00F91BE9"/>
    <w:rsid w:val="00F92299"/>
    <w:rsid w:val="00F92455"/>
    <w:rsid w:val="00F9253B"/>
    <w:rsid w:val="00F92B6C"/>
    <w:rsid w:val="00F92C0D"/>
    <w:rsid w:val="00F92D94"/>
    <w:rsid w:val="00F9321B"/>
    <w:rsid w:val="00F93F48"/>
    <w:rsid w:val="00F94080"/>
    <w:rsid w:val="00F9441E"/>
    <w:rsid w:val="00F94965"/>
    <w:rsid w:val="00F95523"/>
    <w:rsid w:val="00F9563D"/>
    <w:rsid w:val="00F95822"/>
    <w:rsid w:val="00F96AF0"/>
    <w:rsid w:val="00F96B80"/>
    <w:rsid w:val="00FA0686"/>
    <w:rsid w:val="00FA083F"/>
    <w:rsid w:val="00FA0917"/>
    <w:rsid w:val="00FA0C52"/>
    <w:rsid w:val="00FA0F7F"/>
    <w:rsid w:val="00FA100C"/>
    <w:rsid w:val="00FA1051"/>
    <w:rsid w:val="00FA146F"/>
    <w:rsid w:val="00FA1C6B"/>
    <w:rsid w:val="00FA1EAE"/>
    <w:rsid w:val="00FA27AE"/>
    <w:rsid w:val="00FA2828"/>
    <w:rsid w:val="00FA3A46"/>
    <w:rsid w:val="00FA3BDA"/>
    <w:rsid w:val="00FA3FBC"/>
    <w:rsid w:val="00FA4008"/>
    <w:rsid w:val="00FA40F6"/>
    <w:rsid w:val="00FA4E9D"/>
    <w:rsid w:val="00FA5342"/>
    <w:rsid w:val="00FA5492"/>
    <w:rsid w:val="00FA5586"/>
    <w:rsid w:val="00FA60B6"/>
    <w:rsid w:val="00FA6441"/>
    <w:rsid w:val="00FA67C3"/>
    <w:rsid w:val="00FA7618"/>
    <w:rsid w:val="00FA7AC0"/>
    <w:rsid w:val="00FA7B31"/>
    <w:rsid w:val="00FA7D53"/>
    <w:rsid w:val="00FB006B"/>
    <w:rsid w:val="00FB0238"/>
    <w:rsid w:val="00FB08B8"/>
    <w:rsid w:val="00FB150C"/>
    <w:rsid w:val="00FB1791"/>
    <w:rsid w:val="00FB1898"/>
    <w:rsid w:val="00FB1C81"/>
    <w:rsid w:val="00FB1D7C"/>
    <w:rsid w:val="00FB2C78"/>
    <w:rsid w:val="00FB2D12"/>
    <w:rsid w:val="00FB3F0A"/>
    <w:rsid w:val="00FB4021"/>
    <w:rsid w:val="00FB44E5"/>
    <w:rsid w:val="00FB4742"/>
    <w:rsid w:val="00FB4CE1"/>
    <w:rsid w:val="00FB53D5"/>
    <w:rsid w:val="00FB633C"/>
    <w:rsid w:val="00FB65CA"/>
    <w:rsid w:val="00FB70DB"/>
    <w:rsid w:val="00FB7195"/>
    <w:rsid w:val="00FB7226"/>
    <w:rsid w:val="00FB7ECB"/>
    <w:rsid w:val="00FC0AA4"/>
    <w:rsid w:val="00FC0B42"/>
    <w:rsid w:val="00FC0B88"/>
    <w:rsid w:val="00FC0CD8"/>
    <w:rsid w:val="00FC0EAD"/>
    <w:rsid w:val="00FC1BF1"/>
    <w:rsid w:val="00FC259A"/>
    <w:rsid w:val="00FC2820"/>
    <w:rsid w:val="00FC2BA2"/>
    <w:rsid w:val="00FC2E34"/>
    <w:rsid w:val="00FC2FFD"/>
    <w:rsid w:val="00FC3427"/>
    <w:rsid w:val="00FC351F"/>
    <w:rsid w:val="00FC359A"/>
    <w:rsid w:val="00FC36B2"/>
    <w:rsid w:val="00FC3E8C"/>
    <w:rsid w:val="00FC4A59"/>
    <w:rsid w:val="00FC5627"/>
    <w:rsid w:val="00FC5D05"/>
    <w:rsid w:val="00FC5E9A"/>
    <w:rsid w:val="00FC61A5"/>
    <w:rsid w:val="00FC61B2"/>
    <w:rsid w:val="00FC66E0"/>
    <w:rsid w:val="00FC72D3"/>
    <w:rsid w:val="00FC7459"/>
    <w:rsid w:val="00FC7597"/>
    <w:rsid w:val="00FC7B59"/>
    <w:rsid w:val="00FD0C83"/>
    <w:rsid w:val="00FD0D38"/>
    <w:rsid w:val="00FD1AD6"/>
    <w:rsid w:val="00FD1C17"/>
    <w:rsid w:val="00FD20B6"/>
    <w:rsid w:val="00FD2B6A"/>
    <w:rsid w:val="00FD2D05"/>
    <w:rsid w:val="00FD340F"/>
    <w:rsid w:val="00FD3D73"/>
    <w:rsid w:val="00FD3FBC"/>
    <w:rsid w:val="00FD4311"/>
    <w:rsid w:val="00FD4BEB"/>
    <w:rsid w:val="00FD52EB"/>
    <w:rsid w:val="00FD6057"/>
    <w:rsid w:val="00FD67BF"/>
    <w:rsid w:val="00FD765F"/>
    <w:rsid w:val="00FD7A66"/>
    <w:rsid w:val="00FD7EC5"/>
    <w:rsid w:val="00FE05AB"/>
    <w:rsid w:val="00FE05FB"/>
    <w:rsid w:val="00FE08BC"/>
    <w:rsid w:val="00FE0BC7"/>
    <w:rsid w:val="00FE0DE6"/>
    <w:rsid w:val="00FE1A70"/>
    <w:rsid w:val="00FE1CE8"/>
    <w:rsid w:val="00FE1FE5"/>
    <w:rsid w:val="00FE3200"/>
    <w:rsid w:val="00FE3260"/>
    <w:rsid w:val="00FE34FF"/>
    <w:rsid w:val="00FE3A7C"/>
    <w:rsid w:val="00FE3C96"/>
    <w:rsid w:val="00FE46EE"/>
    <w:rsid w:val="00FE4967"/>
    <w:rsid w:val="00FE5426"/>
    <w:rsid w:val="00FE57EA"/>
    <w:rsid w:val="00FE5813"/>
    <w:rsid w:val="00FE5B9B"/>
    <w:rsid w:val="00FE6004"/>
    <w:rsid w:val="00FE647D"/>
    <w:rsid w:val="00FE656D"/>
    <w:rsid w:val="00FE6C01"/>
    <w:rsid w:val="00FE6DAA"/>
    <w:rsid w:val="00FE77BE"/>
    <w:rsid w:val="00FE785B"/>
    <w:rsid w:val="00FE7DCC"/>
    <w:rsid w:val="00FF03DC"/>
    <w:rsid w:val="00FF053A"/>
    <w:rsid w:val="00FF0D2C"/>
    <w:rsid w:val="00FF13A7"/>
    <w:rsid w:val="00FF143D"/>
    <w:rsid w:val="00FF151B"/>
    <w:rsid w:val="00FF168F"/>
    <w:rsid w:val="00FF1C36"/>
    <w:rsid w:val="00FF208B"/>
    <w:rsid w:val="00FF244E"/>
    <w:rsid w:val="00FF2E6B"/>
    <w:rsid w:val="00FF3452"/>
    <w:rsid w:val="00FF3537"/>
    <w:rsid w:val="00FF41F8"/>
    <w:rsid w:val="00FF46EF"/>
    <w:rsid w:val="00FF5367"/>
    <w:rsid w:val="00FF59D8"/>
    <w:rsid w:val="00FF5E1D"/>
    <w:rsid w:val="00FF5F03"/>
    <w:rsid w:val="00FF65EF"/>
    <w:rsid w:val="00FF6635"/>
    <w:rsid w:val="00FF6AD1"/>
    <w:rsid w:val="00FF6FA8"/>
    <w:rsid w:val="00FF741D"/>
    <w:rsid w:val="00FF78D7"/>
    <w:rsid w:val="00FF7F1E"/>
    <w:rsid w:val="0105E6AC"/>
    <w:rsid w:val="01220452"/>
    <w:rsid w:val="013B4770"/>
    <w:rsid w:val="018E7B21"/>
    <w:rsid w:val="01B2181F"/>
    <w:rsid w:val="021C43A5"/>
    <w:rsid w:val="021CD0DD"/>
    <w:rsid w:val="02854253"/>
    <w:rsid w:val="0290ACB8"/>
    <w:rsid w:val="03A8B068"/>
    <w:rsid w:val="03C22486"/>
    <w:rsid w:val="04050198"/>
    <w:rsid w:val="0406EA2F"/>
    <w:rsid w:val="042A0864"/>
    <w:rsid w:val="05C3F8B8"/>
    <w:rsid w:val="06377328"/>
    <w:rsid w:val="06CCACF6"/>
    <w:rsid w:val="072BA64B"/>
    <w:rsid w:val="073B55D6"/>
    <w:rsid w:val="077C74EB"/>
    <w:rsid w:val="07982FE3"/>
    <w:rsid w:val="0884BBD7"/>
    <w:rsid w:val="08948A59"/>
    <w:rsid w:val="08A0E229"/>
    <w:rsid w:val="0984C980"/>
    <w:rsid w:val="09A0BC8A"/>
    <w:rsid w:val="09F11E5C"/>
    <w:rsid w:val="0A154CA9"/>
    <w:rsid w:val="0A4B1848"/>
    <w:rsid w:val="0AF81491"/>
    <w:rsid w:val="0C82DC40"/>
    <w:rsid w:val="0CE73F9D"/>
    <w:rsid w:val="0CF7BE2B"/>
    <w:rsid w:val="0DA4C667"/>
    <w:rsid w:val="0E2F114B"/>
    <w:rsid w:val="0E447667"/>
    <w:rsid w:val="0E595C3F"/>
    <w:rsid w:val="0EF9FD97"/>
    <w:rsid w:val="0F1489C3"/>
    <w:rsid w:val="0F50BF2D"/>
    <w:rsid w:val="0F661CF8"/>
    <w:rsid w:val="10090803"/>
    <w:rsid w:val="11411592"/>
    <w:rsid w:val="118979B7"/>
    <w:rsid w:val="11A64532"/>
    <w:rsid w:val="120F1FA6"/>
    <w:rsid w:val="122AD35D"/>
    <w:rsid w:val="1271E12F"/>
    <w:rsid w:val="12989E39"/>
    <w:rsid w:val="12A858D4"/>
    <w:rsid w:val="134907DE"/>
    <w:rsid w:val="13500DD2"/>
    <w:rsid w:val="137F0A0E"/>
    <w:rsid w:val="13970E8F"/>
    <w:rsid w:val="13F3DEEC"/>
    <w:rsid w:val="13FEFCB2"/>
    <w:rsid w:val="1487966A"/>
    <w:rsid w:val="14D2D0E1"/>
    <w:rsid w:val="151C8EA6"/>
    <w:rsid w:val="15DE6825"/>
    <w:rsid w:val="15EE7116"/>
    <w:rsid w:val="162F0411"/>
    <w:rsid w:val="16E91FC1"/>
    <w:rsid w:val="17301EEC"/>
    <w:rsid w:val="17A0C5EE"/>
    <w:rsid w:val="17C9EFB3"/>
    <w:rsid w:val="17E388A8"/>
    <w:rsid w:val="1870436C"/>
    <w:rsid w:val="1889FDFA"/>
    <w:rsid w:val="18A92CA9"/>
    <w:rsid w:val="19236938"/>
    <w:rsid w:val="194CADB9"/>
    <w:rsid w:val="1AD1E1CD"/>
    <w:rsid w:val="1AE959A7"/>
    <w:rsid w:val="1B2505D5"/>
    <w:rsid w:val="1B284057"/>
    <w:rsid w:val="1B2FB7EF"/>
    <w:rsid w:val="1B60D741"/>
    <w:rsid w:val="1B93F6DF"/>
    <w:rsid w:val="1C41645B"/>
    <w:rsid w:val="1CF1AC83"/>
    <w:rsid w:val="1D49E61B"/>
    <w:rsid w:val="1D634000"/>
    <w:rsid w:val="1DB0C984"/>
    <w:rsid w:val="1DD6CFB9"/>
    <w:rsid w:val="1E87232A"/>
    <w:rsid w:val="1EBC2A8F"/>
    <w:rsid w:val="1EEA4884"/>
    <w:rsid w:val="1F2434A0"/>
    <w:rsid w:val="204B1A9D"/>
    <w:rsid w:val="205AFA2E"/>
    <w:rsid w:val="212EDAF5"/>
    <w:rsid w:val="217ED904"/>
    <w:rsid w:val="21C59FCB"/>
    <w:rsid w:val="21F23FE3"/>
    <w:rsid w:val="2260736D"/>
    <w:rsid w:val="226FC0EF"/>
    <w:rsid w:val="22928E58"/>
    <w:rsid w:val="22DDD081"/>
    <w:rsid w:val="246E508D"/>
    <w:rsid w:val="25A1A001"/>
    <w:rsid w:val="25DA9F3E"/>
    <w:rsid w:val="26042F15"/>
    <w:rsid w:val="2693E9D9"/>
    <w:rsid w:val="26A286DF"/>
    <w:rsid w:val="26C01542"/>
    <w:rsid w:val="26D089C0"/>
    <w:rsid w:val="27094DB6"/>
    <w:rsid w:val="27B4382B"/>
    <w:rsid w:val="284D07A9"/>
    <w:rsid w:val="28CF238F"/>
    <w:rsid w:val="28F4B50B"/>
    <w:rsid w:val="29574A0F"/>
    <w:rsid w:val="2A06BEFD"/>
    <w:rsid w:val="2A2EBB6C"/>
    <w:rsid w:val="2A4510AB"/>
    <w:rsid w:val="2ACE0B8C"/>
    <w:rsid w:val="2B472E62"/>
    <w:rsid w:val="2B75CC29"/>
    <w:rsid w:val="2C8EAD74"/>
    <w:rsid w:val="2D2B5033"/>
    <w:rsid w:val="2D8FB99D"/>
    <w:rsid w:val="2DBBDB3B"/>
    <w:rsid w:val="2DE897DA"/>
    <w:rsid w:val="2E386006"/>
    <w:rsid w:val="2ED5DEDE"/>
    <w:rsid w:val="2F69989A"/>
    <w:rsid w:val="2FEFFEFA"/>
    <w:rsid w:val="3059945C"/>
    <w:rsid w:val="30C840DC"/>
    <w:rsid w:val="310743DE"/>
    <w:rsid w:val="310C6377"/>
    <w:rsid w:val="31DCF4EC"/>
    <w:rsid w:val="32055F4C"/>
    <w:rsid w:val="32B9F0F3"/>
    <w:rsid w:val="33A3D1FB"/>
    <w:rsid w:val="33A9C6B8"/>
    <w:rsid w:val="34AD5424"/>
    <w:rsid w:val="35094714"/>
    <w:rsid w:val="351A96A8"/>
    <w:rsid w:val="3528EF04"/>
    <w:rsid w:val="363007D0"/>
    <w:rsid w:val="36629B48"/>
    <w:rsid w:val="36CCC8F4"/>
    <w:rsid w:val="3720FA2D"/>
    <w:rsid w:val="37863693"/>
    <w:rsid w:val="382AB7A6"/>
    <w:rsid w:val="38F86460"/>
    <w:rsid w:val="3945B8C5"/>
    <w:rsid w:val="3963C00F"/>
    <w:rsid w:val="396F9639"/>
    <w:rsid w:val="3A8356CF"/>
    <w:rsid w:val="3AC46607"/>
    <w:rsid w:val="3ACAAE70"/>
    <w:rsid w:val="3ACDB61D"/>
    <w:rsid w:val="3AE31548"/>
    <w:rsid w:val="3AEF3D92"/>
    <w:rsid w:val="3B13F6E6"/>
    <w:rsid w:val="3B468F96"/>
    <w:rsid w:val="3BDF54B8"/>
    <w:rsid w:val="3C7D4D58"/>
    <w:rsid w:val="3CB34BD0"/>
    <w:rsid w:val="3D0ED215"/>
    <w:rsid w:val="3D2713E6"/>
    <w:rsid w:val="3DC30BD4"/>
    <w:rsid w:val="3E47355F"/>
    <w:rsid w:val="3E4C9195"/>
    <w:rsid w:val="3E8D1842"/>
    <w:rsid w:val="3EA0E3BE"/>
    <w:rsid w:val="3F45B26A"/>
    <w:rsid w:val="3F8CB44D"/>
    <w:rsid w:val="4010B654"/>
    <w:rsid w:val="40639A7D"/>
    <w:rsid w:val="40BD872D"/>
    <w:rsid w:val="413EA03F"/>
    <w:rsid w:val="4155C5C6"/>
    <w:rsid w:val="41974CAA"/>
    <w:rsid w:val="41D5DF5A"/>
    <w:rsid w:val="4275310C"/>
    <w:rsid w:val="4288818D"/>
    <w:rsid w:val="45175628"/>
    <w:rsid w:val="453DED96"/>
    <w:rsid w:val="454FCFF1"/>
    <w:rsid w:val="45932166"/>
    <w:rsid w:val="46671CD4"/>
    <w:rsid w:val="471B8FAE"/>
    <w:rsid w:val="47502A1B"/>
    <w:rsid w:val="47657203"/>
    <w:rsid w:val="476E1937"/>
    <w:rsid w:val="4821A277"/>
    <w:rsid w:val="48481226"/>
    <w:rsid w:val="489DBC70"/>
    <w:rsid w:val="48AE559E"/>
    <w:rsid w:val="490FBA43"/>
    <w:rsid w:val="4989E106"/>
    <w:rsid w:val="49947531"/>
    <w:rsid w:val="4A38E681"/>
    <w:rsid w:val="4A80AD50"/>
    <w:rsid w:val="4A8F153E"/>
    <w:rsid w:val="4A968DEE"/>
    <w:rsid w:val="4AD6AE4B"/>
    <w:rsid w:val="4B5583DE"/>
    <w:rsid w:val="4B74ABE9"/>
    <w:rsid w:val="4BAAA781"/>
    <w:rsid w:val="4BD26BEC"/>
    <w:rsid w:val="4BE4EA48"/>
    <w:rsid w:val="4C59454E"/>
    <w:rsid w:val="4CAFD72A"/>
    <w:rsid w:val="4DF47065"/>
    <w:rsid w:val="4E0DB1B3"/>
    <w:rsid w:val="4ED0AA45"/>
    <w:rsid w:val="4ED3420F"/>
    <w:rsid w:val="50924D23"/>
    <w:rsid w:val="513126BC"/>
    <w:rsid w:val="515A9A72"/>
    <w:rsid w:val="51BB8D46"/>
    <w:rsid w:val="51D95130"/>
    <w:rsid w:val="523AE5AA"/>
    <w:rsid w:val="525CA79C"/>
    <w:rsid w:val="52790620"/>
    <w:rsid w:val="529E8766"/>
    <w:rsid w:val="52BC6851"/>
    <w:rsid w:val="52BF0E83"/>
    <w:rsid w:val="532EF88D"/>
    <w:rsid w:val="533C030A"/>
    <w:rsid w:val="533E0244"/>
    <w:rsid w:val="537DBE82"/>
    <w:rsid w:val="53898150"/>
    <w:rsid w:val="53EFA818"/>
    <w:rsid w:val="54617A01"/>
    <w:rsid w:val="54856DF2"/>
    <w:rsid w:val="54C2E23C"/>
    <w:rsid w:val="54F6DBCA"/>
    <w:rsid w:val="555688C4"/>
    <w:rsid w:val="555F9BD5"/>
    <w:rsid w:val="5596775C"/>
    <w:rsid w:val="55B6146B"/>
    <w:rsid w:val="560B1D90"/>
    <w:rsid w:val="56AE91B8"/>
    <w:rsid w:val="56CFB305"/>
    <w:rsid w:val="57612B9F"/>
    <w:rsid w:val="57A04B07"/>
    <w:rsid w:val="57C44D12"/>
    <w:rsid w:val="59491D61"/>
    <w:rsid w:val="59A682AE"/>
    <w:rsid w:val="59C91030"/>
    <w:rsid w:val="5ABC7DF1"/>
    <w:rsid w:val="5AE0FC95"/>
    <w:rsid w:val="5AE48029"/>
    <w:rsid w:val="5C063887"/>
    <w:rsid w:val="5C154FF8"/>
    <w:rsid w:val="5C250A58"/>
    <w:rsid w:val="5D1133F5"/>
    <w:rsid w:val="5D5C1CD6"/>
    <w:rsid w:val="5DBCE318"/>
    <w:rsid w:val="5E23AAE9"/>
    <w:rsid w:val="5E283B4F"/>
    <w:rsid w:val="5E8B3C70"/>
    <w:rsid w:val="5E923BA1"/>
    <w:rsid w:val="5EB10D49"/>
    <w:rsid w:val="5F15268B"/>
    <w:rsid w:val="5F6779E2"/>
    <w:rsid w:val="5FF716AE"/>
    <w:rsid w:val="6018C908"/>
    <w:rsid w:val="603A4FA0"/>
    <w:rsid w:val="605E093B"/>
    <w:rsid w:val="60CEA329"/>
    <w:rsid w:val="610748F7"/>
    <w:rsid w:val="6118B56D"/>
    <w:rsid w:val="61647032"/>
    <w:rsid w:val="6170ED5B"/>
    <w:rsid w:val="61B26D27"/>
    <w:rsid w:val="61F21C2B"/>
    <w:rsid w:val="62082705"/>
    <w:rsid w:val="628104DA"/>
    <w:rsid w:val="630AC851"/>
    <w:rsid w:val="63C4C6AA"/>
    <w:rsid w:val="6450FE97"/>
    <w:rsid w:val="649BE97E"/>
    <w:rsid w:val="64BAA76F"/>
    <w:rsid w:val="64BCBC35"/>
    <w:rsid w:val="64E1D539"/>
    <w:rsid w:val="6527270F"/>
    <w:rsid w:val="662AC5FF"/>
    <w:rsid w:val="6657EF13"/>
    <w:rsid w:val="6665CD59"/>
    <w:rsid w:val="6683C1C6"/>
    <w:rsid w:val="66F81A80"/>
    <w:rsid w:val="68309E98"/>
    <w:rsid w:val="683E5120"/>
    <w:rsid w:val="68560F95"/>
    <w:rsid w:val="6939E182"/>
    <w:rsid w:val="696380E3"/>
    <w:rsid w:val="6A0138F9"/>
    <w:rsid w:val="6A6900C9"/>
    <w:rsid w:val="6A791F2D"/>
    <w:rsid w:val="6AD81D49"/>
    <w:rsid w:val="6B7EA9AA"/>
    <w:rsid w:val="6B840632"/>
    <w:rsid w:val="6B849ED7"/>
    <w:rsid w:val="6BDB31D1"/>
    <w:rsid w:val="6BF4B3E7"/>
    <w:rsid w:val="6C090D8B"/>
    <w:rsid w:val="6C4B4CE0"/>
    <w:rsid w:val="6CC5B764"/>
    <w:rsid w:val="6D50CE3C"/>
    <w:rsid w:val="6D627463"/>
    <w:rsid w:val="6D70DA38"/>
    <w:rsid w:val="6E07AD0B"/>
    <w:rsid w:val="6E2EAF8E"/>
    <w:rsid w:val="6E302FD3"/>
    <w:rsid w:val="6E652029"/>
    <w:rsid w:val="6E6D1AB4"/>
    <w:rsid w:val="6EB7FD68"/>
    <w:rsid w:val="6F05B90C"/>
    <w:rsid w:val="6F209CB0"/>
    <w:rsid w:val="6F258B29"/>
    <w:rsid w:val="6F352DD4"/>
    <w:rsid w:val="6FD78E12"/>
    <w:rsid w:val="700FB718"/>
    <w:rsid w:val="7013F92E"/>
    <w:rsid w:val="7040CC9D"/>
    <w:rsid w:val="709E0889"/>
    <w:rsid w:val="70E42AB4"/>
    <w:rsid w:val="7184495F"/>
    <w:rsid w:val="723B8D30"/>
    <w:rsid w:val="726A5204"/>
    <w:rsid w:val="729323E2"/>
    <w:rsid w:val="738C27EB"/>
    <w:rsid w:val="73BA3C55"/>
    <w:rsid w:val="7468C73C"/>
    <w:rsid w:val="74754678"/>
    <w:rsid w:val="752D8206"/>
    <w:rsid w:val="757498B1"/>
    <w:rsid w:val="76A25F05"/>
    <w:rsid w:val="76FF16B5"/>
    <w:rsid w:val="77AC5424"/>
    <w:rsid w:val="77B410A0"/>
    <w:rsid w:val="77D76838"/>
    <w:rsid w:val="77F792F6"/>
    <w:rsid w:val="781B6E64"/>
    <w:rsid w:val="78273F61"/>
    <w:rsid w:val="79CE64BE"/>
    <w:rsid w:val="7A5C7E52"/>
    <w:rsid w:val="7AC4A1D7"/>
    <w:rsid w:val="7AD0D206"/>
    <w:rsid w:val="7B661288"/>
    <w:rsid w:val="7B69EBF6"/>
    <w:rsid w:val="7B9E2402"/>
    <w:rsid w:val="7CA7E238"/>
    <w:rsid w:val="7E000EE3"/>
    <w:rsid w:val="7E3E08C8"/>
    <w:rsid w:val="7F1C62C2"/>
    <w:rsid w:val="7F7FAB3B"/>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EE9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9043D"/>
    <w:pPr>
      <w:widowControl w:val="0"/>
      <w:pBdr>
        <w:top w:val="nil"/>
        <w:left w:val="nil"/>
        <w:bottom w:val="nil"/>
        <w:right w:val="nil"/>
        <w:between w:val="nil"/>
        <w:bar w:val="nil"/>
      </w:pBdr>
      <w:spacing w:after="0" w:line="240" w:lineRule="auto"/>
      <w:jc w:val="both"/>
    </w:pPr>
    <w:rPr>
      <w:rFonts w:ascii="Century" w:eastAsia="Century" w:hAnsi="Century" w:cs="Century"/>
      <w:color w:val="000000"/>
      <w:kern w:val="2"/>
      <w:sz w:val="21"/>
      <w:szCs w:val="21"/>
      <w:u w:color="000000"/>
      <w:bdr w:val="nil"/>
      <w:lang w:val="en-GB" w:eastAsia="ja-JP"/>
    </w:rPr>
  </w:style>
  <w:style w:type="paragraph" w:styleId="Heading1">
    <w:name w:val="heading 1"/>
    <w:basedOn w:val="Normal"/>
    <w:next w:val="Normal"/>
    <w:link w:val="Heading1Char"/>
    <w:uiPriority w:val="9"/>
    <w:qFormat/>
    <w:rsid w:val="0037778F"/>
    <w:pPr>
      <w:keepNext/>
      <w:widowControl/>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180"/>
      <w:ind w:left="357" w:hanging="357"/>
      <w:outlineLvl w:val="0"/>
    </w:pPr>
    <w:rPr>
      <w:rFonts w:ascii="Times New Roman" w:eastAsia="MS Gothic" w:hAnsi="Times New Roman" w:cs="Times New Roman"/>
      <w:b/>
      <w:color w:val="auto"/>
      <w:sz w:val="24"/>
      <w:szCs w:val="24"/>
      <w:bdr w:val="none" w:sz="0" w:space="0" w:color="auto"/>
    </w:rPr>
  </w:style>
  <w:style w:type="paragraph" w:styleId="Heading2">
    <w:name w:val="heading 2"/>
    <w:basedOn w:val="Normal"/>
    <w:next w:val="Normal"/>
    <w:link w:val="Heading2Char"/>
    <w:uiPriority w:val="9"/>
    <w:unhideWhenUsed/>
    <w:qFormat/>
    <w:rsid w:val="0037778F"/>
    <w:pPr>
      <w:keepNext/>
      <w:widowControl/>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80" w:after="120"/>
      <w:outlineLvl w:val="1"/>
    </w:pPr>
    <w:rPr>
      <w:rFonts w:ascii="Times New Roman" w:eastAsia="MS Gothic" w:hAnsi="Times New Roman" w:cs="Times New Roman"/>
      <w:b/>
      <w:color w:val="auto"/>
      <w:sz w:val="22"/>
      <w:szCs w:val="24"/>
      <w:bdr w:val="none" w:sz="0" w:space="0" w:color="auto"/>
    </w:rPr>
  </w:style>
  <w:style w:type="paragraph" w:styleId="Heading3">
    <w:name w:val="heading 3"/>
    <w:basedOn w:val="Normal"/>
    <w:next w:val="Normal"/>
    <w:link w:val="Heading3Char"/>
    <w:uiPriority w:val="9"/>
    <w:unhideWhenUsed/>
    <w:qFormat/>
    <w:rsid w:val="0037778F"/>
    <w:pPr>
      <w:keepNext/>
      <w:widowControl/>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80" w:after="60"/>
      <w:outlineLvl w:val="2"/>
    </w:pPr>
    <w:rPr>
      <w:rFonts w:ascii="Times New Roman" w:eastAsia="MS Mincho" w:hAnsi="Times New Roman" w:cs="Times New Roman"/>
      <w:b/>
      <w:i/>
      <w:color w:val="auto"/>
      <w:sz w:val="22"/>
      <w:szCs w:val="24"/>
      <w:bdr w:val="none" w:sz="0" w:space="0" w:color="auto"/>
    </w:rPr>
  </w:style>
  <w:style w:type="paragraph" w:styleId="Heading4">
    <w:name w:val="heading 4"/>
    <w:basedOn w:val="Heading3"/>
    <w:next w:val="Normal"/>
    <w:link w:val="Heading4Char"/>
    <w:uiPriority w:val="9"/>
    <w:unhideWhenUsed/>
    <w:qFormat/>
    <w:rsid w:val="0037778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78F"/>
    <w:rPr>
      <w:rFonts w:ascii="Times New Roman" w:eastAsia="MS Gothic" w:hAnsi="Times New Roman" w:cs="Times New Roman"/>
      <w:b/>
      <w:kern w:val="2"/>
      <w:sz w:val="24"/>
      <w:szCs w:val="24"/>
      <w:u w:color="000000"/>
      <w:lang w:val="en-GB" w:eastAsia="ja-JP"/>
    </w:rPr>
  </w:style>
  <w:style w:type="character" w:customStyle="1" w:styleId="Heading3Char">
    <w:name w:val="Heading 3 Char"/>
    <w:basedOn w:val="DefaultParagraphFont"/>
    <w:link w:val="Heading3"/>
    <w:uiPriority w:val="9"/>
    <w:rsid w:val="0037778F"/>
    <w:rPr>
      <w:rFonts w:ascii="Times New Roman" w:hAnsi="Times New Roman" w:cs="Times New Roman"/>
      <w:b/>
      <w:i/>
      <w:kern w:val="2"/>
      <w:szCs w:val="24"/>
      <w:u w:color="000000"/>
      <w:lang w:val="en-GB" w:eastAsia="ja-JP"/>
    </w:rPr>
  </w:style>
  <w:style w:type="character" w:styleId="Strong">
    <w:name w:val="Strong"/>
    <w:basedOn w:val="DefaultParagraphFont"/>
    <w:uiPriority w:val="22"/>
    <w:qFormat/>
    <w:rsid w:val="00CE32C7"/>
    <w:rPr>
      <w:b/>
      <w:bCs/>
    </w:rPr>
  </w:style>
  <w:style w:type="paragraph" w:styleId="ListParagraph">
    <w:name w:val="List Paragraph"/>
    <w:basedOn w:val="Normal"/>
    <w:link w:val="ListParagraphChar"/>
    <w:uiPriority w:val="34"/>
    <w:qFormat/>
    <w:rsid w:val="00CE32C7"/>
    <w:pPr>
      <w:widowControl/>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left"/>
    </w:pPr>
    <w:rPr>
      <w:rFonts w:ascii="Times New Roman" w:eastAsiaTheme="minorHAnsi" w:hAnsi="Times New Roman" w:cs="Times New Roman"/>
      <w:color w:val="auto"/>
      <w:kern w:val="0"/>
      <w:sz w:val="24"/>
      <w:szCs w:val="24"/>
      <w:bdr w:val="none" w:sz="0" w:space="0" w:color="auto"/>
      <w:lang w:val="en-US"/>
    </w:rPr>
  </w:style>
  <w:style w:type="paragraph" w:customStyle="1" w:styleId="hd">
    <w:name w:val="hd"/>
    <w:basedOn w:val="Normal"/>
    <w:rsid w:val="0059043D"/>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737"/>
      </w:tabs>
      <w:overflowPunct w:val="0"/>
      <w:autoSpaceDE w:val="0"/>
      <w:autoSpaceDN w:val="0"/>
      <w:adjustRightInd w:val="0"/>
      <w:spacing w:after="60"/>
      <w:jc w:val="center"/>
      <w:textAlignment w:val="baseline"/>
    </w:pPr>
    <w:rPr>
      <w:rFonts w:ascii="Century Schoolbook" w:eastAsia="Times New Roman" w:hAnsi="Century Schoolbook" w:cs="Times New Roman"/>
      <w:b/>
      <w:smallCaps/>
      <w:color w:val="auto"/>
      <w:kern w:val="0"/>
      <w:sz w:val="28"/>
      <w:szCs w:val="20"/>
      <w:bdr w:val="none" w:sz="0" w:space="0" w:color="auto"/>
      <w:lang w:eastAsia="en-US"/>
    </w:rPr>
  </w:style>
  <w:style w:type="paragraph" w:styleId="BodyText">
    <w:name w:val="Body Text"/>
    <w:basedOn w:val="Normal"/>
    <w:link w:val="BodyTextChar"/>
    <w:rsid w:val="0059043D"/>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1"/>
        <w:tab w:val="left" w:pos="1276"/>
      </w:tabs>
      <w:overflowPunct w:val="0"/>
      <w:autoSpaceDE w:val="0"/>
      <w:autoSpaceDN w:val="0"/>
      <w:adjustRightInd w:val="0"/>
      <w:spacing w:after="120"/>
      <w:textAlignment w:val="baseline"/>
    </w:pPr>
    <w:rPr>
      <w:rFonts w:ascii="Century Schoolbook" w:eastAsia="Times New Roman" w:hAnsi="Century Schoolbook" w:cs="Times New Roman"/>
      <w:i/>
      <w:color w:val="auto"/>
      <w:kern w:val="0"/>
      <w:sz w:val="22"/>
      <w:szCs w:val="20"/>
      <w:bdr w:val="none" w:sz="0" w:space="0" w:color="auto"/>
      <w:lang w:eastAsia="en-US"/>
    </w:rPr>
  </w:style>
  <w:style w:type="character" w:customStyle="1" w:styleId="BodyTextChar">
    <w:name w:val="Body Text Char"/>
    <w:basedOn w:val="DefaultParagraphFont"/>
    <w:link w:val="BodyText"/>
    <w:rsid w:val="0059043D"/>
    <w:rPr>
      <w:rFonts w:ascii="Century Schoolbook" w:eastAsia="Times New Roman" w:hAnsi="Century Schoolbook" w:cs="Times New Roman"/>
      <w:i/>
      <w:szCs w:val="20"/>
      <w:u w:color="000000"/>
      <w:lang w:val="en-GB"/>
    </w:rPr>
  </w:style>
  <w:style w:type="paragraph" w:styleId="Header">
    <w:name w:val="header"/>
    <w:basedOn w:val="Normal"/>
    <w:link w:val="HeaderChar"/>
    <w:uiPriority w:val="99"/>
    <w:unhideWhenUsed/>
    <w:rsid w:val="0059043D"/>
    <w:pPr>
      <w:tabs>
        <w:tab w:val="center" w:pos="4513"/>
        <w:tab w:val="right" w:pos="9026"/>
      </w:tabs>
    </w:pPr>
  </w:style>
  <w:style w:type="character" w:customStyle="1" w:styleId="HeaderChar">
    <w:name w:val="Header Char"/>
    <w:basedOn w:val="DefaultParagraphFont"/>
    <w:link w:val="Header"/>
    <w:uiPriority w:val="99"/>
    <w:rsid w:val="0059043D"/>
    <w:rPr>
      <w:rFonts w:ascii="Century" w:eastAsia="Century" w:hAnsi="Century" w:cs="Century"/>
      <w:color w:val="000000"/>
      <w:kern w:val="2"/>
      <w:sz w:val="21"/>
      <w:szCs w:val="21"/>
      <w:u w:color="000000"/>
      <w:bdr w:val="nil"/>
      <w:lang w:val="en-GB" w:eastAsia="ja-JP"/>
    </w:rPr>
  </w:style>
  <w:style w:type="paragraph" w:styleId="Footer">
    <w:name w:val="footer"/>
    <w:basedOn w:val="Normal"/>
    <w:link w:val="FooterChar"/>
    <w:uiPriority w:val="99"/>
    <w:unhideWhenUsed/>
    <w:rsid w:val="0059043D"/>
    <w:pPr>
      <w:tabs>
        <w:tab w:val="center" w:pos="4513"/>
        <w:tab w:val="right" w:pos="9026"/>
      </w:tabs>
    </w:pPr>
  </w:style>
  <w:style w:type="character" w:customStyle="1" w:styleId="FooterChar">
    <w:name w:val="Footer Char"/>
    <w:basedOn w:val="DefaultParagraphFont"/>
    <w:link w:val="Footer"/>
    <w:uiPriority w:val="99"/>
    <w:rsid w:val="0059043D"/>
    <w:rPr>
      <w:rFonts w:ascii="Century" w:eastAsia="Century" w:hAnsi="Century" w:cs="Century"/>
      <w:color w:val="000000"/>
      <w:kern w:val="2"/>
      <w:sz w:val="21"/>
      <w:szCs w:val="21"/>
      <w:u w:color="000000"/>
      <w:bdr w:val="nil"/>
      <w:lang w:val="en-GB" w:eastAsia="ja-JP"/>
    </w:rPr>
  </w:style>
  <w:style w:type="character" w:customStyle="1" w:styleId="NoneA">
    <w:name w:val="None A"/>
    <w:rsid w:val="001C57C8"/>
  </w:style>
  <w:style w:type="paragraph" w:styleId="PlainText">
    <w:name w:val="Plain Text"/>
    <w:basedOn w:val="Normal"/>
    <w:link w:val="PlainTextChar"/>
    <w:uiPriority w:val="99"/>
    <w:unhideWhenUsed/>
    <w:rsid w:val="0059043D"/>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Calibri" w:eastAsia="Calibri" w:hAnsi="Calibri" w:cs="Times New Roman"/>
      <w:color w:val="auto"/>
      <w:kern w:val="0"/>
      <w:sz w:val="22"/>
      <w:bdr w:val="none" w:sz="0" w:space="0" w:color="auto"/>
      <w:lang w:val="en-US" w:eastAsia="en-US"/>
    </w:rPr>
  </w:style>
  <w:style w:type="character" w:customStyle="1" w:styleId="PlainTextChar">
    <w:name w:val="Plain Text Char"/>
    <w:basedOn w:val="DefaultParagraphFont"/>
    <w:link w:val="PlainText"/>
    <w:uiPriority w:val="99"/>
    <w:rsid w:val="0059043D"/>
    <w:rPr>
      <w:rFonts w:ascii="Calibri" w:eastAsia="Calibri" w:hAnsi="Calibri" w:cs="Times New Roman"/>
      <w:szCs w:val="21"/>
      <w:u w:color="000000"/>
    </w:rPr>
  </w:style>
  <w:style w:type="character" w:styleId="Hyperlink">
    <w:name w:val="Hyperlink"/>
    <w:uiPriority w:val="99"/>
    <w:rsid w:val="00BD3AB9"/>
    <w:rPr>
      <w:u w:val="single"/>
    </w:rPr>
  </w:style>
  <w:style w:type="paragraph" w:styleId="TOC1">
    <w:name w:val="toc 1"/>
    <w:uiPriority w:val="39"/>
    <w:rsid w:val="00BD3AB9"/>
    <w:pPr>
      <w:widowControl w:val="0"/>
      <w:pBdr>
        <w:top w:val="nil"/>
        <w:left w:val="nil"/>
        <w:bottom w:val="nil"/>
        <w:right w:val="nil"/>
        <w:between w:val="nil"/>
        <w:bar w:val="nil"/>
      </w:pBdr>
      <w:tabs>
        <w:tab w:val="left" w:pos="605"/>
        <w:tab w:val="right" w:leader="dot" w:pos="8818"/>
      </w:tabs>
      <w:spacing w:after="120" w:line="240" w:lineRule="auto"/>
      <w:jc w:val="both"/>
    </w:pPr>
    <w:rPr>
      <w:rFonts w:ascii="Times New Roman Bold" w:eastAsia="Century" w:hAnsi="Times New Roman Bold" w:cs="Century"/>
      <w:b/>
      <w:caps/>
      <w:color w:val="000000"/>
      <w:kern w:val="2"/>
      <w:szCs w:val="21"/>
      <w:u w:color="000000"/>
      <w:bdr w:val="nil"/>
      <w:lang w:eastAsia="ja-JP"/>
    </w:rPr>
  </w:style>
  <w:style w:type="paragraph" w:styleId="TOC2">
    <w:name w:val="toc 2"/>
    <w:uiPriority w:val="39"/>
    <w:rsid w:val="00BD3AB9"/>
    <w:pPr>
      <w:widowControl w:val="0"/>
      <w:pBdr>
        <w:top w:val="nil"/>
        <w:left w:val="nil"/>
        <w:bottom w:val="nil"/>
        <w:right w:val="nil"/>
        <w:between w:val="nil"/>
        <w:bar w:val="nil"/>
      </w:pBdr>
      <w:tabs>
        <w:tab w:val="left" w:pos="605"/>
        <w:tab w:val="right" w:leader="dot" w:pos="8818"/>
      </w:tabs>
      <w:spacing w:after="120" w:line="240" w:lineRule="auto"/>
      <w:jc w:val="both"/>
    </w:pPr>
    <w:rPr>
      <w:rFonts w:ascii="Times New Roman" w:eastAsia="Century" w:hAnsi="Times New Roman" w:cs="Century"/>
      <w:noProof/>
      <w:color w:val="000000"/>
      <w:kern w:val="2"/>
      <w:szCs w:val="21"/>
      <w:u w:color="000000"/>
      <w:bdr w:val="nil"/>
      <w:lang w:eastAsia="ja-JP"/>
    </w:rPr>
  </w:style>
  <w:style w:type="paragraph" w:styleId="TOC3">
    <w:name w:val="toc 3"/>
    <w:uiPriority w:val="39"/>
    <w:rsid w:val="00BD3AB9"/>
    <w:pPr>
      <w:widowControl w:val="0"/>
      <w:pBdr>
        <w:top w:val="nil"/>
        <w:left w:val="nil"/>
        <w:bottom w:val="nil"/>
        <w:right w:val="nil"/>
        <w:between w:val="nil"/>
        <w:bar w:val="nil"/>
      </w:pBdr>
      <w:tabs>
        <w:tab w:val="left" w:pos="1260"/>
        <w:tab w:val="right" w:leader="dot" w:pos="8818"/>
      </w:tabs>
      <w:spacing w:after="80" w:line="240" w:lineRule="auto"/>
      <w:ind w:left="605"/>
      <w:jc w:val="both"/>
    </w:pPr>
    <w:rPr>
      <w:rFonts w:ascii="Times New Roman" w:eastAsia="Century" w:hAnsi="Times New Roman" w:cs="Century"/>
      <w:i/>
      <w:color w:val="000000"/>
      <w:kern w:val="2"/>
      <w:szCs w:val="21"/>
      <w:u w:color="000000"/>
      <w:bdr w:val="nil"/>
      <w:lang w:eastAsia="ja-JP"/>
    </w:rPr>
  </w:style>
  <w:style w:type="character" w:customStyle="1" w:styleId="Heading2Char">
    <w:name w:val="Heading 2 Char"/>
    <w:basedOn w:val="DefaultParagraphFont"/>
    <w:link w:val="Heading2"/>
    <w:uiPriority w:val="9"/>
    <w:rsid w:val="0037778F"/>
    <w:rPr>
      <w:rFonts w:ascii="Times New Roman" w:eastAsia="MS Gothic" w:hAnsi="Times New Roman" w:cs="Times New Roman"/>
      <w:b/>
      <w:kern w:val="2"/>
      <w:szCs w:val="24"/>
      <w:u w:color="000000"/>
      <w:lang w:val="en-GB" w:eastAsia="ja-JP"/>
    </w:rPr>
  </w:style>
  <w:style w:type="paragraph" w:customStyle="1" w:styleId="Norm">
    <w:name w:val="Norm"/>
    <w:basedOn w:val="Heading1"/>
    <w:link w:val="NormChar"/>
    <w:rsid w:val="001C57C8"/>
    <w:pPr>
      <w:numPr>
        <w:numId w:val="0"/>
      </w:numPr>
    </w:pPr>
    <w:rPr>
      <w:b w:val="0"/>
    </w:rPr>
  </w:style>
  <w:style w:type="paragraph" w:customStyle="1" w:styleId="textstyle">
    <w:name w:val="text style"/>
    <w:basedOn w:val="Norm"/>
    <w:link w:val="textstyleChar"/>
    <w:rsid w:val="005A4154"/>
  </w:style>
  <w:style w:type="character" w:customStyle="1" w:styleId="NormChar">
    <w:name w:val="Norm Char"/>
    <w:basedOn w:val="Heading1Char"/>
    <w:link w:val="Norm"/>
    <w:rsid w:val="001C57C8"/>
    <w:rPr>
      <w:rFonts w:ascii="Times New Roman" w:eastAsia="MS Gothic" w:hAnsi="Times New Roman" w:cs="Times New Roman"/>
      <w:b w:val="0"/>
      <w:kern w:val="2"/>
      <w:sz w:val="24"/>
      <w:szCs w:val="24"/>
      <w:u w:color="000000"/>
      <w:lang w:val="en-GB" w:eastAsia="ja-JP"/>
    </w:rPr>
  </w:style>
  <w:style w:type="paragraph" w:customStyle="1" w:styleId="Text">
    <w:name w:val="Text"/>
    <w:basedOn w:val="Normal"/>
    <w:link w:val="TextChar"/>
    <w:qFormat/>
    <w:rsid w:val="0037778F"/>
    <w:pPr>
      <w:spacing w:before="240" w:after="240" w:line="276" w:lineRule="auto"/>
      <w:jc w:val="left"/>
    </w:pPr>
    <w:rPr>
      <w:rFonts w:ascii="Times New Roman" w:hAnsi="Times New Roman" w:cs="Times New Roman"/>
      <w:sz w:val="24"/>
    </w:rPr>
  </w:style>
  <w:style w:type="character" w:customStyle="1" w:styleId="textstyleChar">
    <w:name w:val="text style Char"/>
    <w:basedOn w:val="NormChar"/>
    <w:link w:val="textstyle"/>
    <w:rsid w:val="005A4154"/>
    <w:rPr>
      <w:rFonts w:ascii="Times New Roman" w:eastAsia="MS Gothic" w:hAnsi="Times New Roman" w:cs="Times New Roman"/>
      <w:b w:val="0"/>
      <w:kern w:val="2"/>
      <w:sz w:val="24"/>
      <w:szCs w:val="24"/>
      <w:u w:color="000000"/>
      <w:lang w:val="en-GB" w:eastAsia="ja-JP"/>
    </w:rPr>
  </w:style>
  <w:style w:type="character" w:customStyle="1" w:styleId="TextChar">
    <w:name w:val="Text Char"/>
    <w:basedOn w:val="DefaultParagraphFont"/>
    <w:link w:val="Text"/>
    <w:rsid w:val="0037778F"/>
    <w:rPr>
      <w:rFonts w:ascii="Times New Roman" w:eastAsia="Century" w:hAnsi="Times New Roman" w:cs="Times New Roman"/>
      <w:color w:val="000000"/>
      <w:kern w:val="2"/>
      <w:sz w:val="24"/>
      <w:szCs w:val="21"/>
      <w:u w:color="000000"/>
      <w:bdr w:val="nil"/>
      <w:lang w:val="en-GB" w:eastAsia="ja-JP"/>
    </w:rPr>
  </w:style>
  <w:style w:type="character" w:styleId="LineNumber">
    <w:name w:val="line number"/>
    <w:basedOn w:val="DefaultParagraphFont"/>
    <w:uiPriority w:val="99"/>
    <w:semiHidden/>
    <w:unhideWhenUsed/>
    <w:rsid w:val="008701B5"/>
  </w:style>
  <w:style w:type="character" w:customStyle="1" w:styleId="Heading4Char">
    <w:name w:val="Heading 4 Char"/>
    <w:basedOn w:val="DefaultParagraphFont"/>
    <w:link w:val="Heading4"/>
    <w:uiPriority w:val="9"/>
    <w:rsid w:val="0037778F"/>
    <w:rPr>
      <w:rFonts w:ascii="Times New Roman" w:hAnsi="Times New Roman" w:cs="Times New Roman"/>
      <w:b/>
      <w:i/>
      <w:kern w:val="2"/>
      <w:szCs w:val="24"/>
      <w:u w:color="000000"/>
      <w:lang w:val="en-GB" w:eastAsia="ja-JP"/>
    </w:rPr>
  </w:style>
  <w:style w:type="paragraph" w:customStyle="1" w:styleId="ICHTextOnly">
    <w:name w:val="ICH Text Only"/>
    <w:basedOn w:val="Normal"/>
    <w:link w:val="ICHTextOnlyChar"/>
    <w:qFormat/>
    <w:rsid w:val="00D4739A"/>
    <w:pPr>
      <w:spacing w:line="360" w:lineRule="auto"/>
    </w:pPr>
    <w:rPr>
      <w:rFonts w:ascii="Times New Roman" w:hAnsi="Times New Roman" w:cs="Times New Roman"/>
      <w:sz w:val="24"/>
      <w:szCs w:val="24"/>
    </w:rPr>
  </w:style>
  <w:style w:type="character" w:customStyle="1" w:styleId="ICHTextOnlyChar">
    <w:name w:val="ICH Text Only Char"/>
    <w:basedOn w:val="DefaultParagraphFont"/>
    <w:link w:val="ICHTextOnly"/>
    <w:rsid w:val="00D4739A"/>
    <w:rPr>
      <w:rFonts w:ascii="Times New Roman" w:eastAsia="Century" w:hAnsi="Times New Roman" w:cs="Times New Roman"/>
      <w:color w:val="000000"/>
      <w:kern w:val="2"/>
      <w:sz w:val="24"/>
      <w:szCs w:val="24"/>
      <w:u w:color="000000"/>
      <w:bdr w:val="nil"/>
      <w:lang w:val="en-GB" w:eastAsia="ja-JP"/>
    </w:rPr>
  </w:style>
  <w:style w:type="character" w:customStyle="1" w:styleId="ListParagraphChar">
    <w:name w:val="List Paragraph Char"/>
    <w:link w:val="ListParagraph"/>
    <w:uiPriority w:val="34"/>
    <w:qFormat/>
    <w:locked/>
    <w:rsid w:val="00E06474"/>
    <w:rPr>
      <w:rFonts w:ascii="Times New Roman" w:hAnsi="Times New Roman" w:cs="Times New Roman"/>
      <w:sz w:val="24"/>
      <w:szCs w:val="24"/>
      <w:u w:color="000000"/>
      <w:lang w:eastAsia="ja-JP"/>
    </w:rPr>
  </w:style>
  <w:style w:type="character" w:styleId="CommentReference">
    <w:name w:val="annotation reference"/>
    <w:basedOn w:val="DefaultParagraphFont"/>
    <w:uiPriority w:val="99"/>
    <w:unhideWhenUsed/>
    <w:rsid w:val="00AE7DD1"/>
    <w:rPr>
      <w:sz w:val="16"/>
      <w:szCs w:val="16"/>
    </w:rPr>
  </w:style>
  <w:style w:type="paragraph" w:styleId="CommentText">
    <w:name w:val="annotation text"/>
    <w:basedOn w:val="Normal"/>
    <w:link w:val="CommentTextChar"/>
    <w:uiPriority w:val="99"/>
    <w:unhideWhenUsed/>
    <w:rsid w:val="00AE7DD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left"/>
    </w:pPr>
    <w:rPr>
      <w:rFonts w:ascii="Arial" w:eastAsiaTheme="minorEastAsia" w:hAnsi="Arial" w:cstheme="minorBidi"/>
      <w:color w:val="auto"/>
      <w:kern w:val="0"/>
      <w:sz w:val="20"/>
      <w:szCs w:val="20"/>
      <w:bdr w:val="none" w:sz="0" w:space="0" w:color="auto"/>
      <w:lang w:val="en-US" w:eastAsia="en-US"/>
    </w:rPr>
  </w:style>
  <w:style w:type="character" w:customStyle="1" w:styleId="CommentTextChar">
    <w:name w:val="Comment Text Char"/>
    <w:basedOn w:val="DefaultParagraphFont"/>
    <w:link w:val="CommentText"/>
    <w:uiPriority w:val="99"/>
    <w:rsid w:val="00AE7DD1"/>
    <w:rPr>
      <w:rFonts w:ascii="Arial" w:eastAsiaTheme="minorEastAsia" w:hAnsi="Arial"/>
      <w:sz w:val="20"/>
      <w:szCs w:val="20"/>
    </w:rPr>
  </w:style>
  <w:style w:type="paragraph" w:customStyle="1" w:styleId="Normal2">
    <w:name w:val="Normal 2"/>
    <w:basedOn w:val="Normal"/>
    <w:qFormat/>
    <w:rsid w:val="00A853A4"/>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65"/>
      <w:jc w:val="left"/>
    </w:pPr>
    <w:rPr>
      <w:rFonts w:ascii="Arial" w:eastAsiaTheme="minorEastAsia" w:hAnsi="Arial" w:cstheme="minorBidi"/>
      <w:color w:val="auto"/>
      <w:kern w:val="0"/>
      <w:sz w:val="22"/>
      <w:szCs w:val="22"/>
      <w:bdr w:val="none" w:sz="0" w:space="0" w:color="auto"/>
      <w:lang w:val="en-US" w:eastAsia="en-US"/>
    </w:rPr>
  </w:style>
  <w:style w:type="character" w:customStyle="1" w:styleId="ui-provider">
    <w:name w:val="ui-provider"/>
    <w:basedOn w:val="DefaultParagraphFont"/>
    <w:rsid w:val="00565D77"/>
  </w:style>
  <w:style w:type="table" w:styleId="TableGrid">
    <w:name w:val="Table Grid"/>
    <w:basedOn w:val="TableNormal"/>
    <w:uiPriority w:val="39"/>
    <w:rsid w:val="00A523E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C52FF"/>
  </w:style>
  <w:style w:type="paragraph" w:styleId="Caption">
    <w:name w:val="caption"/>
    <w:basedOn w:val="Normal"/>
    <w:next w:val="Normal"/>
    <w:uiPriority w:val="35"/>
    <w:unhideWhenUsed/>
    <w:qFormat/>
    <w:rsid w:val="002D50C2"/>
    <w:pPr>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200"/>
      <w:jc w:val="center"/>
    </w:pPr>
    <w:rPr>
      <w:rFonts w:ascii="Arial" w:eastAsiaTheme="minorEastAsia" w:hAnsi="Arial" w:cstheme="minorBidi"/>
      <w:b/>
      <w:iCs/>
      <w:color w:val="auto"/>
      <w:kern w:val="0"/>
      <w:sz w:val="22"/>
      <w:szCs w:val="18"/>
      <w:bdr w:val="none" w:sz="0" w:space="0" w:color="auto"/>
      <w:lang w:val="en-US" w:eastAsia="en-US"/>
    </w:rPr>
  </w:style>
  <w:style w:type="paragraph" w:styleId="FootnoteText">
    <w:name w:val="footnote text"/>
    <w:aliases w:val="Style 11,Footnote,Car,GM_Fußnotentext,fn,Schriftart: 9 pt,Schriftart: 10 pt,Schriftart: 8 pt,WB-Fußnotentext,Final Footnote Text,Footnote Text 2,Footnotes,ft,fn cafc,Footnote ak,footnote text Char,Footnotes Char,Footnote ak Char"/>
    <w:basedOn w:val="Normal"/>
    <w:link w:val="FootnoteTextChar"/>
    <w:uiPriority w:val="99"/>
    <w:unhideWhenUsed/>
    <w:qFormat/>
    <w:rsid w:val="002D50C2"/>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Theme="minorHAnsi" w:eastAsiaTheme="minorEastAsia" w:hAnsiTheme="minorHAnsi" w:cstheme="minorBidi"/>
      <w:color w:val="auto"/>
      <w:kern w:val="0"/>
      <w:sz w:val="20"/>
      <w:szCs w:val="20"/>
      <w:bdr w:val="none" w:sz="0" w:space="0" w:color="auto"/>
      <w:lang w:eastAsia="en-US"/>
    </w:rPr>
  </w:style>
  <w:style w:type="character" w:customStyle="1" w:styleId="FootnoteTextChar">
    <w:name w:val="Footnote Text Char"/>
    <w:aliases w:val="Style 11 Char,Footnote Char,Car Char,GM_Fußnotentext Char,fn Char,Schriftart: 9 pt Char,Schriftart: 10 pt Char,Schriftart: 8 pt Char,WB-Fußnotentext Char,Final Footnote Text Char,Footnote Text 2 Char,Footnotes Char1,ft Char"/>
    <w:basedOn w:val="DefaultParagraphFont"/>
    <w:link w:val="FootnoteText"/>
    <w:uiPriority w:val="99"/>
    <w:rsid w:val="002D50C2"/>
    <w:rPr>
      <w:rFonts w:eastAsiaTheme="minorEastAsia"/>
      <w:sz w:val="20"/>
      <w:szCs w:val="20"/>
      <w:lang w:val="en-GB"/>
    </w:rPr>
  </w:style>
  <w:style w:type="character" w:styleId="FootnoteReference">
    <w:name w:val="footnote reference"/>
    <w:aliases w:val="Footnote text,Style 10,Footnotemark,Footnote Text1"/>
    <w:basedOn w:val="DefaultParagraphFont"/>
    <w:uiPriority w:val="99"/>
    <w:unhideWhenUsed/>
    <w:rsid w:val="002D50C2"/>
    <w:rPr>
      <w:vertAlign w:val="superscript"/>
    </w:rPr>
  </w:style>
  <w:style w:type="character" w:customStyle="1" w:styleId="cf01">
    <w:name w:val="cf01"/>
    <w:basedOn w:val="DefaultParagraphFont"/>
    <w:rsid w:val="00F609B5"/>
    <w:rPr>
      <w:rFonts w:ascii="Segoe UI" w:hAnsi="Segoe UI" w:cs="Segoe UI" w:hint="default"/>
      <w:sz w:val="18"/>
      <w:szCs w:val="18"/>
    </w:rPr>
  </w:style>
  <w:style w:type="paragraph" w:customStyle="1" w:styleId="pf0">
    <w:name w:val="pf0"/>
    <w:basedOn w:val="Normal"/>
    <w:rsid w:val="00F609B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kern w:val="0"/>
      <w:sz w:val="24"/>
      <w:szCs w:val="24"/>
      <w:bdr w:val="none" w:sz="0" w:space="0" w:color="auto"/>
      <w:lang w:val="en-US" w:eastAsia="en-US"/>
    </w:rPr>
  </w:style>
  <w:style w:type="paragraph" w:customStyle="1" w:styleId="EndNoteBibliography">
    <w:name w:val="EndNote Bibliography"/>
    <w:basedOn w:val="Normal"/>
    <w:link w:val="EndNoteBibliographyChar"/>
    <w:rsid w:val="00257AD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left"/>
    </w:pPr>
    <w:rPr>
      <w:rFonts w:ascii="Arial" w:eastAsiaTheme="minorEastAsia" w:hAnsi="Arial" w:cs="Arial"/>
      <w:noProof/>
      <w:color w:val="auto"/>
      <w:kern w:val="0"/>
      <w:sz w:val="22"/>
      <w:szCs w:val="22"/>
      <w:bdr w:val="none" w:sz="0" w:space="0" w:color="auto"/>
      <w:lang w:val="en-US" w:eastAsia="en-US"/>
    </w:rPr>
  </w:style>
  <w:style w:type="character" w:customStyle="1" w:styleId="EndNoteBibliographyChar">
    <w:name w:val="EndNote Bibliography Char"/>
    <w:basedOn w:val="DefaultParagraphFont"/>
    <w:link w:val="EndNoteBibliography"/>
    <w:rsid w:val="00257ADE"/>
    <w:rPr>
      <w:rFonts w:ascii="Arial" w:eastAsiaTheme="minorEastAsia" w:hAnsi="Arial" w:cs="Arial"/>
      <w:noProof/>
    </w:rPr>
  </w:style>
  <w:style w:type="paragraph" w:styleId="TOCHeading">
    <w:name w:val="TOC Heading"/>
    <w:basedOn w:val="Heading1"/>
    <w:next w:val="Normal"/>
    <w:uiPriority w:val="39"/>
    <w:unhideWhenUsed/>
    <w:qFormat/>
    <w:rsid w:val="00FE1CE8"/>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kern w:val="0"/>
      <w:sz w:val="32"/>
      <w:szCs w:val="32"/>
      <w:lang w:val="en-US" w:eastAsia="en-US"/>
    </w:rPr>
  </w:style>
  <w:style w:type="paragraph" w:customStyle="1" w:styleId="Default">
    <w:name w:val="Default"/>
    <w:rsid w:val="00FD6057"/>
    <w:pPr>
      <w:autoSpaceDE w:val="0"/>
      <w:autoSpaceDN w:val="0"/>
      <w:adjustRightInd w:val="0"/>
      <w:spacing w:after="0" w:line="240" w:lineRule="auto"/>
    </w:pPr>
    <w:rPr>
      <w:rFonts w:ascii="Symbol" w:hAnsi="Symbol" w:cs="Symbol"/>
      <w:color w:val="000000"/>
      <w:sz w:val="24"/>
      <w:szCs w:val="24"/>
      <w:lang w:val="en-GB"/>
      <w14:ligatures w14:val="standardContextual"/>
    </w:rPr>
  </w:style>
  <w:style w:type="paragraph" w:styleId="CommentSubject">
    <w:name w:val="annotation subject"/>
    <w:basedOn w:val="CommentText"/>
    <w:next w:val="CommentText"/>
    <w:link w:val="CommentSubjectChar"/>
    <w:uiPriority w:val="99"/>
    <w:semiHidden/>
    <w:unhideWhenUsed/>
    <w:rsid w:val="00A1008F"/>
    <w:pPr>
      <w:widowControl w:val="0"/>
      <w:pBdr>
        <w:top w:val="nil"/>
        <w:left w:val="nil"/>
        <w:bottom w:val="nil"/>
        <w:right w:val="nil"/>
        <w:between w:val="nil"/>
        <w:bar w:val="nil"/>
      </w:pBdr>
      <w:spacing w:before="0" w:after="0"/>
      <w:jc w:val="both"/>
    </w:pPr>
    <w:rPr>
      <w:rFonts w:ascii="Century" w:eastAsia="Century" w:hAnsi="Century" w:cs="Century"/>
      <w:b/>
      <w:bCs/>
      <w:color w:val="000000"/>
      <w:kern w:val="2"/>
      <w:bdr w:val="nil"/>
      <w:lang w:val="en-GB" w:eastAsia="ja-JP"/>
    </w:rPr>
  </w:style>
  <w:style w:type="character" w:customStyle="1" w:styleId="CommentSubjectChar">
    <w:name w:val="Comment Subject Char"/>
    <w:basedOn w:val="CommentTextChar"/>
    <w:link w:val="CommentSubject"/>
    <w:uiPriority w:val="99"/>
    <w:semiHidden/>
    <w:rsid w:val="00A1008F"/>
    <w:rPr>
      <w:rFonts w:ascii="Century" w:eastAsia="Century" w:hAnsi="Century" w:cs="Century"/>
      <w:b/>
      <w:bCs/>
      <w:color w:val="000000"/>
      <w:kern w:val="2"/>
      <w:sz w:val="20"/>
      <w:szCs w:val="20"/>
      <w:u w:color="000000"/>
      <w:bdr w:val="nil"/>
      <w:lang w:val="en-GB" w:eastAsia="ja-JP"/>
    </w:rPr>
  </w:style>
  <w:style w:type="paragraph" w:styleId="Revision">
    <w:name w:val="Revision"/>
    <w:hidden/>
    <w:uiPriority w:val="99"/>
    <w:semiHidden/>
    <w:rsid w:val="00867A12"/>
    <w:pPr>
      <w:spacing w:after="0" w:line="240" w:lineRule="auto"/>
    </w:pPr>
    <w:rPr>
      <w:rFonts w:ascii="Century" w:eastAsia="Century" w:hAnsi="Century" w:cs="Century"/>
      <w:color w:val="000000"/>
      <w:kern w:val="2"/>
      <w:sz w:val="21"/>
      <w:szCs w:val="21"/>
      <w:u w:color="000000"/>
      <w:bdr w:val="nil"/>
      <w:lang w:val="en-GB" w:eastAsia="ja-JP"/>
    </w:rPr>
  </w:style>
  <w:style w:type="character" w:styleId="UnresolvedMention">
    <w:name w:val="Unresolved Mention"/>
    <w:basedOn w:val="DefaultParagraphFont"/>
    <w:uiPriority w:val="99"/>
    <w:semiHidden/>
    <w:unhideWhenUsed/>
    <w:rsid w:val="00CA5357"/>
    <w:rPr>
      <w:color w:val="605E5C"/>
      <w:shd w:val="clear" w:color="auto" w:fill="E1DFDD"/>
    </w:rPr>
  </w:style>
  <w:style w:type="paragraph" w:customStyle="1" w:styleId="TableParagraph">
    <w:name w:val="Table Paragraph"/>
    <w:basedOn w:val="Normal"/>
    <w:uiPriority w:val="1"/>
    <w:qFormat/>
    <w:rsid w:val="00C661CF"/>
    <w:pPr>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Theme="minorHAnsi" w:eastAsiaTheme="minorHAnsi" w:hAnsiTheme="minorHAnsi" w:cstheme="minorBidi"/>
      <w:color w:val="auto"/>
      <w:kern w:val="0"/>
      <w:sz w:val="22"/>
      <w:szCs w:val="22"/>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27517">
      <w:bodyDiv w:val="1"/>
      <w:marLeft w:val="0"/>
      <w:marRight w:val="0"/>
      <w:marTop w:val="0"/>
      <w:marBottom w:val="0"/>
      <w:divBdr>
        <w:top w:val="none" w:sz="0" w:space="0" w:color="auto"/>
        <w:left w:val="none" w:sz="0" w:space="0" w:color="auto"/>
        <w:bottom w:val="none" w:sz="0" w:space="0" w:color="auto"/>
        <w:right w:val="none" w:sz="0" w:space="0" w:color="auto"/>
      </w:divBdr>
    </w:div>
    <w:div w:id="850996665">
      <w:bodyDiv w:val="1"/>
      <w:marLeft w:val="0"/>
      <w:marRight w:val="0"/>
      <w:marTop w:val="0"/>
      <w:marBottom w:val="0"/>
      <w:divBdr>
        <w:top w:val="none" w:sz="0" w:space="0" w:color="auto"/>
        <w:left w:val="none" w:sz="0" w:space="0" w:color="auto"/>
        <w:bottom w:val="none" w:sz="0" w:space="0" w:color="auto"/>
        <w:right w:val="none" w:sz="0" w:space="0" w:color="auto"/>
      </w:divBdr>
      <w:divsChild>
        <w:div w:id="4283119">
          <w:marLeft w:val="0"/>
          <w:marRight w:val="0"/>
          <w:marTop w:val="0"/>
          <w:marBottom w:val="0"/>
          <w:divBdr>
            <w:top w:val="none" w:sz="0" w:space="0" w:color="auto"/>
            <w:left w:val="none" w:sz="0" w:space="0" w:color="auto"/>
            <w:bottom w:val="none" w:sz="0" w:space="0" w:color="auto"/>
            <w:right w:val="none" w:sz="0" w:space="0" w:color="auto"/>
          </w:divBdr>
        </w:div>
        <w:div w:id="183596534">
          <w:marLeft w:val="0"/>
          <w:marRight w:val="0"/>
          <w:marTop w:val="0"/>
          <w:marBottom w:val="0"/>
          <w:divBdr>
            <w:top w:val="none" w:sz="0" w:space="0" w:color="auto"/>
            <w:left w:val="none" w:sz="0" w:space="0" w:color="auto"/>
            <w:bottom w:val="none" w:sz="0" w:space="0" w:color="auto"/>
            <w:right w:val="none" w:sz="0" w:space="0" w:color="auto"/>
          </w:divBdr>
        </w:div>
        <w:div w:id="198903391">
          <w:marLeft w:val="0"/>
          <w:marRight w:val="0"/>
          <w:marTop w:val="0"/>
          <w:marBottom w:val="0"/>
          <w:divBdr>
            <w:top w:val="none" w:sz="0" w:space="0" w:color="auto"/>
            <w:left w:val="none" w:sz="0" w:space="0" w:color="auto"/>
            <w:bottom w:val="none" w:sz="0" w:space="0" w:color="auto"/>
            <w:right w:val="none" w:sz="0" w:space="0" w:color="auto"/>
          </w:divBdr>
        </w:div>
        <w:div w:id="205724946">
          <w:marLeft w:val="0"/>
          <w:marRight w:val="0"/>
          <w:marTop w:val="0"/>
          <w:marBottom w:val="0"/>
          <w:divBdr>
            <w:top w:val="none" w:sz="0" w:space="0" w:color="auto"/>
            <w:left w:val="none" w:sz="0" w:space="0" w:color="auto"/>
            <w:bottom w:val="none" w:sz="0" w:space="0" w:color="auto"/>
            <w:right w:val="none" w:sz="0" w:space="0" w:color="auto"/>
          </w:divBdr>
        </w:div>
        <w:div w:id="221798493">
          <w:marLeft w:val="0"/>
          <w:marRight w:val="0"/>
          <w:marTop w:val="0"/>
          <w:marBottom w:val="0"/>
          <w:divBdr>
            <w:top w:val="none" w:sz="0" w:space="0" w:color="auto"/>
            <w:left w:val="none" w:sz="0" w:space="0" w:color="auto"/>
            <w:bottom w:val="none" w:sz="0" w:space="0" w:color="auto"/>
            <w:right w:val="none" w:sz="0" w:space="0" w:color="auto"/>
          </w:divBdr>
        </w:div>
        <w:div w:id="341929881">
          <w:marLeft w:val="0"/>
          <w:marRight w:val="0"/>
          <w:marTop w:val="0"/>
          <w:marBottom w:val="0"/>
          <w:divBdr>
            <w:top w:val="none" w:sz="0" w:space="0" w:color="auto"/>
            <w:left w:val="none" w:sz="0" w:space="0" w:color="auto"/>
            <w:bottom w:val="none" w:sz="0" w:space="0" w:color="auto"/>
            <w:right w:val="none" w:sz="0" w:space="0" w:color="auto"/>
          </w:divBdr>
        </w:div>
        <w:div w:id="352728011">
          <w:marLeft w:val="0"/>
          <w:marRight w:val="0"/>
          <w:marTop w:val="0"/>
          <w:marBottom w:val="0"/>
          <w:divBdr>
            <w:top w:val="none" w:sz="0" w:space="0" w:color="auto"/>
            <w:left w:val="none" w:sz="0" w:space="0" w:color="auto"/>
            <w:bottom w:val="none" w:sz="0" w:space="0" w:color="auto"/>
            <w:right w:val="none" w:sz="0" w:space="0" w:color="auto"/>
          </w:divBdr>
        </w:div>
        <w:div w:id="404843579">
          <w:marLeft w:val="0"/>
          <w:marRight w:val="0"/>
          <w:marTop w:val="0"/>
          <w:marBottom w:val="0"/>
          <w:divBdr>
            <w:top w:val="none" w:sz="0" w:space="0" w:color="auto"/>
            <w:left w:val="none" w:sz="0" w:space="0" w:color="auto"/>
            <w:bottom w:val="none" w:sz="0" w:space="0" w:color="auto"/>
            <w:right w:val="none" w:sz="0" w:space="0" w:color="auto"/>
          </w:divBdr>
        </w:div>
        <w:div w:id="459611415">
          <w:marLeft w:val="0"/>
          <w:marRight w:val="0"/>
          <w:marTop w:val="0"/>
          <w:marBottom w:val="0"/>
          <w:divBdr>
            <w:top w:val="none" w:sz="0" w:space="0" w:color="auto"/>
            <w:left w:val="none" w:sz="0" w:space="0" w:color="auto"/>
            <w:bottom w:val="none" w:sz="0" w:space="0" w:color="auto"/>
            <w:right w:val="none" w:sz="0" w:space="0" w:color="auto"/>
          </w:divBdr>
        </w:div>
        <w:div w:id="513809440">
          <w:marLeft w:val="0"/>
          <w:marRight w:val="0"/>
          <w:marTop w:val="0"/>
          <w:marBottom w:val="0"/>
          <w:divBdr>
            <w:top w:val="none" w:sz="0" w:space="0" w:color="auto"/>
            <w:left w:val="none" w:sz="0" w:space="0" w:color="auto"/>
            <w:bottom w:val="none" w:sz="0" w:space="0" w:color="auto"/>
            <w:right w:val="none" w:sz="0" w:space="0" w:color="auto"/>
          </w:divBdr>
          <w:divsChild>
            <w:div w:id="679084453">
              <w:marLeft w:val="-75"/>
              <w:marRight w:val="0"/>
              <w:marTop w:val="30"/>
              <w:marBottom w:val="30"/>
              <w:divBdr>
                <w:top w:val="none" w:sz="0" w:space="0" w:color="auto"/>
                <w:left w:val="none" w:sz="0" w:space="0" w:color="auto"/>
                <w:bottom w:val="none" w:sz="0" w:space="0" w:color="auto"/>
                <w:right w:val="none" w:sz="0" w:space="0" w:color="auto"/>
              </w:divBdr>
              <w:divsChild>
                <w:div w:id="133955988">
                  <w:marLeft w:val="0"/>
                  <w:marRight w:val="0"/>
                  <w:marTop w:val="0"/>
                  <w:marBottom w:val="0"/>
                  <w:divBdr>
                    <w:top w:val="none" w:sz="0" w:space="0" w:color="auto"/>
                    <w:left w:val="none" w:sz="0" w:space="0" w:color="auto"/>
                    <w:bottom w:val="none" w:sz="0" w:space="0" w:color="auto"/>
                    <w:right w:val="none" w:sz="0" w:space="0" w:color="auto"/>
                  </w:divBdr>
                  <w:divsChild>
                    <w:div w:id="399326756">
                      <w:marLeft w:val="0"/>
                      <w:marRight w:val="0"/>
                      <w:marTop w:val="0"/>
                      <w:marBottom w:val="0"/>
                      <w:divBdr>
                        <w:top w:val="none" w:sz="0" w:space="0" w:color="auto"/>
                        <w:left w:val="none" w:sz="0" w:space="0" w:color="auto"/>
                        <w:bottom w:val="none" w:sz="0" w:space="0" w:color="auto"/>
                        <w:right w:val="none" w:sz="0" w:space="0" w:color="auto"/>
                      </w:divBdr>
                    </w:div>
                  </w:divsChild>
                </w:div>
                <w:div w:id="139926386">
                  <w:marLeft w:val="0"/>
                  <w:marRight w:val="0"/>
                  <w:marTop w:val="0"/>
                  <w:marBottom w:val="0"/>
                  <w:divBdr>
                    <w:top w:val="none" w:sz="0" w:space="0" w:color="auto"/>
                    <w:left w:val="none" w:sz="0" w:space="0" w:color="auto"/>
                    <w:bottom w:val="none" w:sz="0" w:space="0" w:color="auto"/>
                    <w:right w:val="none" w:sz="0" w:space="0" w:color="auto"/>
                  </w:divBdr>
                  <w:divsChild>
                    <w:div w:id="94177804">
                      <w:marLeft w:val="0"/>
                      <w:marRight w:val="0"/>
                      <w:marTop w:val="0"/>
                      <w:marBottom w:val="0"/>
                      <w:divBdr>
                        <w:top w:val="none" w:sz="0" w:space="0" w:color="auto"/>
                        <w:left w:val="none" w:sz="0" w:space="0" w:color="auto"/>
                        <w:bottom w:val="none" w:sz="0" w:space="0" w:color="auto"/>
                        <w:right w:val="none" w:sz="0" w:space="0" w:color="auto"/>
                      </w:divBdr>
                    </w:div>
                  </w:divsChild>
                </w:div>
                <w:div w:id="323240897">
                  <w:marLeft w:val="0"/>
                  <w:marRight w:val="0"/>
                  <w:marTop w:val="0"/>
                  <w:marBottom w:val="0"/>
                  <w:divBdr>
                    <w:top w:val="none" w:sz="0" w:space="0" w:color="auto"/>
                    <w:left w:val="none" w:sz="0" w:space="0" w:color="auto"/>
                    <w:bottom w:val="none" w:sz="0" w:space="0" w:color="auto"/>
                    <w:right w:val="none" w:sz="0" w:space="0" w:color="auto"/>
                  </w:divBdr>
                  <w:divsChild>
                    <w:div w:id="68354395">
                      <w:marLeft w:val="0"/>
                      <w:marRight w:val="0"/>
                      <w:marTop w:val="0"/>
                      <w:marBottom w:val="0"/>
                      <w:divBdr>
                        <w:top w:val="none" w:sz="0" w:space="0" w:color="auto"/>
                        <w:left w:val="none" w:sz="0" w:space="0" w:color="auto"/>
                        <w:bottom w:val="none" w:sz="0" w:space="0" w:color="auto"/>
                        <w:right w:val="none" w:sz="0" w:space="0" w:color="auto"/>
                      </w:divBdr>
                    </w:div>
                  </w:divsChild>
                </w:div>
                <w:div w:id="480586026">
                  <w:marLeft w:val="0"/>
                  <w:marRight w:val="0"/>
                  <w:marTop w:val="0"/>
                  <w:marBottom w:val="0"/>
                  <w:divBdr>
                    <w:top w:val="none" w:sz="0" w:space="0" w:color="auto"/>
                    <w:left w:val="none" w:sz="0" w:space="0" w:color="auto"/>
                    <w:bottom w:val="none" w:sz="0" w:space="0" w:color="auto"/>
                    <w:right w:val="none" w:sz="0" w:space="0" w:color="auto"/>
                  </w:divBdr>
                  <w:divsChild>
                    <w:div w:id="1834956354">
                      <w:marLeft w:val="0"/>
                      <w:marRight w:val="0"/>
                      <w:marTop w:val="0"/>
                      <w:marBottom w:val="0"/>
                      <w:divBdr>
                        <w:top w:val="none" w:sz="0" w:space="0" w:color="auto"/>
                        <w:left w:val="none" w:sz="0" w:space="0" w:color="auto"/>
                        <w:bottom w:val="none" w:sz="0" w:space="0" w:color="auto"/>
                        <w:right w:val="none" w:sz="0" w:space="0" w:color="auto"/>
                      </w:divBdr>
                    </w:div>
                  </w:divsChild>
                </w:div>
                <w:div w:id="498732534">
                  <w:marLeft w:val="0"/>
                  <w:marRight w:val="0"/>
                  <w:marTop w:val="0"/>
                  <w:marBottom w:val="0"/>
                  <w:divBdr>
                    <w:top w:val="none" w:sz="0" w:space="0" w:color="auto"/>
                    <w:left w:val="none" w:sz="0" w:space="0" w:color="auto"/>
                    <w:bottom w:val="none" w:sz="0" w:space="0" w:color="auto"/>
                    <w:right w:val="none" w:sz="0" w:space="0" w:color="auto"/>
                  </w:divBdr>
                  <w:divsChild>
                    <w:div w:id="704211065">
                      <w:marLeft w:val="0"/>
                      <w:marRight w:val="0"/>
                      <w:marTop w:val="0"/>
                      <w:marBottom w:val="0"/>
                      <w:divBdr>
                        <w:top w:val="none" w:sz="0" w:space="0" w:color="auto"/>
                        <w:left w:val="none" w:sz="0" w:space="0" w:color="auto"/>
                        <w:bottom w:val="none" w:sz="0" w:space="0" w:color="auto"/>
                        <w:right w:val="none" w:sz="0" w:space="0" w:color="auto"/>
                      </w:divBdr>
                    </w:div>
                  </w:divsChild>
                </w:div>
                <w:div w:id="518154872">
                  <w:marLeft w:val="0"/>
                  <w:marRight w:val="0"/>
                  <w:marTop w:val="0"/>
                  <w:marBottom w:val="0"/>
                  <w:divBdr>
                    <w:top w:val="none" w:sz="0" w:space="0" w:color="auto"/>
                    <w:left w:val="none" w:sz="0" w:space="0" w:color="auto"/>
                    <w:bottom w:val="none" w:sz="0" w:space="0" w:color="auto"/>
                    <w:right w:val="none" w:sz="0" w:space="0" w:color="auto"/>
                  </w:divBdr>
                  <w:divsChild>
                    <w:div w:id="1912307011">
                      <w:marLeft w:val="0"/>
                      <w:marRight w:val="0"/>
                      <w:marTop w:val="0"/>
                      <w:marBottom w:val="0"/>
                      <w:divBdr>
                        <w:top w:val="none" w:sz="0" w:space="0" w:color="auto"/>
                        <w:left w:val="none" w:sz="0" w:space="0" w:color="auto"/>
                        <w:bottom w:val="none" w:sz="0" w:space="0" w:color="auto"/>
                        <w:right w:val="none" w:sz="0" w:space="0" w:color="auto"/>
                      </w:divBdr>
                    </w:div>
                  </w:divsChild>
                </w:div>
                <w:div w:id="587231863">
                  <w:marLeft w:val="0"/>
                  <w:marRight w:val="0"/>
                  <w:marTop w:val="0"/>
                  <w:marBottom w:val="0"/>
                  <w:divBdr>
                    <w:top w:val="none" w:sz="0" w:space="0" w:color="auto"/>
                    <w:left w:val="none" w:sz="0" w:space="0" w:color="auto"/>
                    <w:bottom w:val="none" w:sz="0" w:space="0" w:color="auto"/>
                    <w:right w:val="none" w:sz="0" w:space="0" w:color="auto"/>
                  </w:divBdr>
                  <w:divsChild>
                    <w:div w:id="614143685">
                      <w:marLeft w:val="0"/>
                      <w:marRight w:val="0"/>
                      <w:marTop w:val="0"/>
                      <w:marBottom w:val="0"/>
                      <w:divBdr>
                        <w:top w:val="none" w:sz="0" w:space="0" w:color="auto"/>
                        <w:left w:val="none" w:sz="0" w:space="0" w:color="auto"/>
                        <w:bottom w:val="none" w:sz="0" w:space="0" w:color="auto"/>
                        <w:right w:val="none" w:sz="0" w:space="0" w:color="auto"/>
                      </w:divBdr>
                    </w:div>
                  </w:divsChild>
                </w:div>
                <w:div w:id="749161453">
                  <w:marLeft w:val="0"/>
                  <w:marRight w:val="0"/>
                  <w:marTop w:val="0"/>
                  <w:marBottom w:val="0"/>
                  <w:divBdr>
                    <w:top w:val="none" w:sz="0" w:space="0" w:color="auto"/>
                    <w:left w:val="none" w:sz="0" w:space="0" w:color="auto"/>
                    <w:bottom w:val="none" w:sz="0" w:space="0" w:color="auto"/>
                    <w:right w:val="none" w:sz="0" w:space="0" w:color="auto"/>
                  </w:divBdr>
                  <w:divsChild>
                    <w:div w:id="458644611">
                      <w:marLeft w:val="0"/>
                      <w:marRight w:val="0"/>
                      <w:marTop w:val="0"/>
                      <w:marBottom w:val="0"/>
                      <w:divBdr>
                        <w:top w:val="none" w:sz="0" w:space="0" w:color="auto"/>
                        <w:left w:val="none" w:sz="0" w:space="0" w:color="auto"/>
                        <w:bottom w:val="none" w:sz="0" w:space="0" w:color="auto"/>
                        <w:right w:val="none" w:sz="0" w:space="0" w:color="auto"/>
                      </w:divBdr>
                    </w:div>
                  </w:divsChild>
                </w:div>
                <w:div w:id="1136726717">
                  <w:marLeft w:val="0"/>
                  <w:marRight w:val="0"/>
                  <w:marTop w:val="0"/>
                  <w:marBottom w:val="0"/>
                  <w:divBdr>
                    <w:top w:val="none" w:sz="0" w:space="0" w:color="auto"/>
                    <w:left w:val="none" w:sz="0" w:space="0" w:color="auto"/>
                    <w:bottom w:val="none" w:sz="0" w:space="0" w:color="auto"/>
                    <w:right w:val="none" w:sz="0" w:space="0" w:color="auto"/>
                  </w:divBdr>
                  <w:divsChild>
                    <w:div w:id="207034702">
                      <w:marLeft w:val="0"/>
                      <w:marRight w:val="0"/>
                      <w:marTop w:val="0"/>
                      <w:marBottom w:val="0"/>
                      <w:divBdr>
                        <w:top w:val="none" w:sz="0" w:space="0" w:color="auto"/>
                        <w:left w:val="none" w:sz="0" w:space="0" w:color="auto"/>
                        <w:bottom w:val="none" w:sz="0" w:space="0" w:color="auto"/>
                        <w:right w:val="none" w:sz="0" w:space="0" w:color="auto"/>
                      </w:divBdr>
                    </w:div>
                  </w:divsChild>
                </w:div>
                <w:div w:id="1656762976">
                  <w:marLeft w:val="0"/>
                  <w:marRight w:val="0"/>
                  <w:marTop w:val="0"/>
                  <w:marBottom w:val="0"/>
                  <w:divBdr>
                    <w:top w:val="none" w:sz="0" w:space="0" w:color="auto"/>
                    <w:left w:val="none" w:sz="0" w:space="0" w:color="auto"/>
                    <w:bottom w:val="none" w:sz="0" w:space="0" w:color="auto"/>
                    <w:right w:val="none" w:sz="0" w:space="0" w:color="auto"/>
                  </w:divBdr>
                  <w:divsChild>
                    <w:div w:id="737243857">
                      <w:marLeft w:val="0"/>
                      <w:marRight w:val="0"/>
                      <w:marTop w:val="0"/>
                      <w:marBottom w:val="0"/>
                      <w:divBdr>
                        <w:top w:val="none" w:sz="0" w:space="0" w:color="auto"/>
                        <w:left w:val="none" w:sz="0" w:space="0" w:color="auto"/>
                        <w:bottom w:val="none" w:sz="0" w:space="0" w:color="auto"/>
                        <w:right w:val="none" w:sz="0" w:space="0" w:color="auto"/>
                      </w:divBdr>
                    </w:div>
                    <w:div w:id="1207374193">
                      <w:marLeft w:val="0"/>
                      <w:marRight w:val="0"/>
                      <w:marTop w:val="0"/>
                      <w:marBottom w:val="0"/>
                      <w:divBdr>
                        <w:top w:val="none" w:sz="0" w:space="0" w:color="auto"/>
                        <w:left w:val="none" w:sz="0" w:space="0" w:color="auto"/>
                        <w:bottom w:val="none" w:sz="0" w:space="0" w:color="auto"/>
                        <w:right w:val="none" w:sz="0" w:space="0" w:color="auto"/>
                      </w:divBdr>
                    </w:div>
                  </w:divsChild>
                </w:div>
                <w:div w:id="1695183163">
                  <w:marLeft w:val="0"/>
                  <w:marRight w:val="0"/>
                  <w:marTop w:val="0"/>
                  <w:marBottom w:val="0"/>
                  <w:divBdr>
                    <w:top w:val="none" w:sz="0" w:space="0" w:color="auto"/>
                    <w:left w:val="none" w:sz="0" w:space="0" w:color="auto"/>
                    <w:bottom w:val="none" w:sz="0" w:space="0" w:color="auto"/>
                    <w:right w:val="none" w:sz="0" w:space="0" w:color="auto"/>
                  </w:divBdr>
                  <w:divsChild>
                    <w:div w:id="509680451">
                      <w:marLeft w:val="0"/>
                      <w:marRight w:val="0"/>
                      <w:marTop w:val="0"/>
                      <w:marBottom w:val="0"/>
                      <w:divBdr>
                        <w:top w:val="none" w:sz="0" w:space="0" w:color="auto"/>
                        <w:left w:val="none" w:sz="0" w:space="0" w:color="auto"/>
                        <w:bottom w:val="none" w:sz="0" w:space="0" w:color="auto"/>
                        <w:right w:val="none" w:sz="0" w:space="0" w:color="auto"/>
                      </w:divBdr>
                    </w:div>
                  </w:divsChild>
                </w:div>
                <w:div w:id="1711883983">
                  <w:marLeft w:val="0"/>
                  <w:marRight w:val="0"/>
                  <w:marTop w:val="0"/>
                  <w:marBottom w:val="0"/>
                  <w:divBdr>
                    <w:top w:val="none" w:sz="0" w:space="0" w:color="auto"/>
                    <w:left w:val="none" w:sz="0" w:space="0" w:color="auto"/>
                    <w:bottom w:val="none" w:sz="0" w:space="0" w:color="auto"/>
                    <w:right w:val="none" w:sz="0" w:space="0" w:color="auto"/>
                  </w:divBdr>
                  <w:divsChild>
                    <w:div w:id="943802192">
                      <w:marLeft w:val="0"/>
                      <w:marRight w:val="0"/>
                      <w:marTop w:val="0"/>
                      <w:marBottom w:val="0"/>
                      <w:divBdr>
                        <w:top w:val="none" w:sz="0" w:space="0" w:color="auto"/>
                        <w:left w:val="none" w:sz="0" w:space="0" w:color="auto"/>
                        <w:bottom w:val="none" w:sz="0" w:space="0" w:color="auto"/>
                        <w:right w:val="none" w:sz="0" w:space="0" w:color="auto"/>
                      </w:divBdr>
                    </w:div>
                  </w:divsChild>
                </w:div>
                <w:div w:id="1926189494">
                  <w:marLeft w:val="0"/>
                  <w:marRight w:val="0"/>
                  <w:marTop w:val="0"/>
                  <w:marBottom w:val="0"/>
                  <w:divBdr>
                    <w:top w:val="none" w:sz="0" w:space="0" w:color="auto"/>
                    <w:left w:val="none" w:sz="0" w:space="0" w:color="auto"/>
                    <w:bottom w:val="none" w:sz="0" w:space="0" w:color="auto"/>
                    <w:right w:val="none" w:sz="0" w:space="0" w:color="auto"/>
                  </w:divBdr>
                  <w:divsChild>
                    <w:div w:id="2053729197">
                      <w:marLeft w:val="0"/>
                      <w:marRight w:val="0"/>
                      <w:marTop w:val="0"/>
                      <w:marBottom w:val="0"/>
                      <w:divBdr>
                        <w:top w:val="none" w:sz="0" w:space="0" w:color="auto"/>
                        <w:left w:val="none" w:sz="0" w:space="0" w:color="auto"/>
                        <w:bottom w:val="none" w:sz="0" w:space="0" w:color="auto"/>
                        <w:right w:val="none" w:sz="0" w:space="0" w:color="auto"/>
                      </w:divBdr>
                    </w:div>
                  </w:divsChild>
                </w:div>
                <w:div w:id="1938437872">
                  <w:marLeft w:val="0"/>
                  <w:marRight w:val="0"/>
                  <w:marTop w:val="0"/>
                  <w:marBottom w:val="0"/>
                  <w:divBdr>
                    <w:top w:val="none" w:sz="0" w:space="0" w:color="auto"/>
                    <w:left w:val="none" w:sz="0" w:space="0" w:color="auto"/>
                    <w:bottom w:val="none" w:sz="0" w:space="0" w:color="auto"/>
                    <w:right w:val="none" w:sz="0" w:space="0" w:color="auto"/>
                  </w:divBdr>
                  <w:divsChild>
                    <w:div w:id="911500418">
                      <w:marLeft w:val="0"/>
                      <w:marRight w:val="0"/>
                      <w:marTop w:val="0"/>
                      <w:marBottom w:val="0"/>
                      <w:divBdr>
                        <w:top w:val="none" w:sz="0" w:space="0" w:color="auto"/>
                        <w:left w:val="none" w:sz="0" w:space="0" w:color="auto"/>
                        <w:bottom w:val="none" w:sz="0" w:space="0" w:color="auto"/>
                        <w:right w:val="none" w:sz="0" w:space="0" w:color="auto"/>
                      </w:divBdr>
                    </w:div>
                  </w:divsChild>
                </w:div>
                <w:div w:id="1951470824">
                  <w:marLeft w:val="0"/>
                  <w:marRight w:val="0"/>
                  <w:marTop w:val="0"/>
                  <w:marBottom w:val="0"/>
                  <w:divBdr>
                    <w:top w:val="none" w:sz="0" w:space="0" w:color="auto"/>
                    <w:left w:val="none" w:sz="0" w:space="0" w:color="auto"/>
                    <w:bottom w:val="none" w:sz="0" w:space="0" w:color="auto"/>
                    <w:right w:val="none" w:sz="0" w:space="0" w:color="auto"/>
                  </w:divBdr>
                  <w:divsChild>
                    <w:div w:id="391584416">
                      <w:marLeft w:val="0"/>
                      <w:marRight w:val="0"/>
                      <w:marTop w:val="0"/>
                      <w:marBottom w:val="0"/>
                      <w:divBdr>
                        <w:top w:val="none" w:sz="0" w:space="0" w:color="auto"/>
                        <w:left w:val="none" w:sz="0" w:space="0" w:color="auto"/>
                        <w:bottom w:val="none" w:sz="0" w:space="0" w:color="auto"/>
                        <w:right w:val="none" w:sz="0" w:space="0" w:color="auto"/>
                      </w:divBdr>
                    </w:div>
                  </w:divsChild>
                </w:div>
                <w:div w:id="1968772669">
                  <w:marLeft w:val="0"/>
                  <w:marRight w:val="0"/>
                  <w:marTop w:val="0"/>
                  <w:marBottom w:val="0"/>
                  <w:divBdr>
                    <w:top w:val="none" w:sz="0" w:space="0" w:color="auto"/>
                    <w:left w:val="none" w:sz="0" w:space="0" w:color="auto"/>
                    <w:bottom w:val="none" w:sz="0" w:space="0" w:color="auto"/>
                    <w:right w:val="none" w:sz="0" w:space="0" w:color="auto"/>
                  </w:divBdr>
                  <w:divsChild>
                    <w:div w:id="271599040">
                      <w:marLeft w:val="0"/>
                      <w:marRight w:val="0"/>
                      <w:marTop w:val="0"/>
                      <w:marBottom w:val="0"/>
                      <w:divBdr>
                        <w:top w:val="none" w:sz="0" w:space="0" w:color="auto"/>
                        <w:left w:val="none" w:sz="0" w:space="0" w:color="auto"/>
                        <w:bottom w:val="none" w:sz="0" w:space="0" w:color="auto"/>
                        <w:right w:val="none" w:sz="0" w:space="0" w:color="auto"/>
                      </w:divBdr>
                    </w:div>
                  </w:divsChild>
                </w:div>
                <w:div w:id="2046172800">
                  <w:marLeft w:val="0"/>
                  <w:marRight w:val="0"/>
                  <w:marTop w:val="0"/>
                  <w:marBottom w:val="0"/>
                  <w:divBdr>
                    <w:top w:val="none" w:sz="0" w:space="0" w:color="auto"/>
                    <w:left w:val="none" w:sz="0" w:space="0" w:color="auto"/>
                    <w:bottom w:val="none" w:sz="0" w:space="0" w:color="auto"/>
                    <w:right w:val="none" w:sz="0" w:space="0" w:color="auto"/>
                  </w:divBdr>
                  <w:divsChild>
                    <w:div w:id="1458374873">
                      <w:marLeft w:val="0"/>
                      <w:marRight w:val="0"/>
                      <w:marTop w:val="0"/>
                      <w:marBottom w:val="0"/>
                      <w:divBdr>
                        <w:top w:val="none" w:sz="0" w:space="0" w:color="auto"/>
                        <w:left w:val="none" w:sz="0" w:space="0" w:color="auto"/>
                        <w:bottom w:val="none" w:sz="0" w:space="0" w:color="auto"/>
                        <w:right w:val="none" w:sz="0" w:space="0" w:color="auto"/>
                      </w:divBdr>
                    </w:div>
                  </w:divsChild>
                </w:div>
                <w:div w:id="2111730986">
                  <w:marLeft w:val="0"/>
                  <w:marRight w:val="0"/>
                  <w:marTop w:val="0"/>
                  <w:marBottom w:val="0"/>
                  <w:divBdr>
                    <w:top w:val="none" w:sz="0" w:space="0" w:color="auto"/>
                    <w:left w:val="none" w:sz="0" w:space="0" w:color="auto"/>
                    <w:bottom w:val="none" w:sz="0" w:space="0" w:color="auto"/>
                    <w:right w:val="none" w:sz="0" w:space="0" w:color="auto"/>
                  </w:divBdr>
                  <w:divsChild>
                    <w:div w:id="324210959">
                      <w:marLeft w:val="0"/>
                      <w:marRight w:val="0"/>
                      <w:marTop w:val="0"/>
                      <w:marBottom w:val="0"/>
                      <w:divBdr>
                        <w:top w:val="none" w:sz="0" w:space="0" w:color="auto"/>
                        <w:left w:val="none" w:sz="0" w:space="0" w:color="auto"/>
                        <w:bottom w:val="none" w:sz="0" w:space="0" w:color="auto"/>
                        <w:right w:val="none" w:sz="0" w:space="0" w:color="auto"/>
                      </w:divBdr>
                    </w:div>
                  </w:divsChild>
                </w:div>
                <w:div w:id="2145659203">
                  <w:marLeft w:val="0"/>
                  <w:marRight w:val="0"/>
                  <w:marTop w:val="0"/>
                  <w:marBottom w:val="0"/>
                  <w:divBdr>
                    <w:top w:val="none" w:sz="0" w:space="0" w:color="auto"/>
                    <w:left w:val="none" w:sz="0" w:space="0" w:color="auto"/>
                    <w:bottom w:val="none" w:sz="0" w:space="0" w:color="auto"/>
                    <w:right w:val="none" w:sz="0" w:space="0" w:color="auto"/>
                  </w:divBdr>
                  <w:divsChild>
                    <w:div w:id="19209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7670">
          <w:marLeft w:val="0"/>
          <w:marRight w:val="0"/>
          <w:marTop w:val="0"/>
          <w:marBottom w:val="0"/>
          <w:divBdr>
            <w:top w:val="none" w:sz="0" w:space="0" w:color="auto"/>
            <w:left w:val="none" w:sz="0" w:space="0" w:color="auto"/>
            <w:bottom w:val="none" w:sz="0" w:space="0" w:color="auto"/>
            <w:right w:val="none" w:sz="0" w:space="0" w:color="auto"/>
          </w:divBdr>
        </w:div>
        <w:div w:id="589196569">
          <w:marLeft w:val="0"/>
          <w:marRight w:val="0"/>
          <w:marTop w:val="0"/>
          <w:marBottom w:val="0"/>
          <w:divBdr>
            <w:top w:val="none" w:sz="0" w:space="0" w:color="auto"/>
            <w:left w:val="none" w:sz="0" w:space="0" w:color="auto"/>
            <w:bottom w:val="none" w:sz="0" w:space="0" w:color="auto"/>
            <w:right w:val="none" w:sz="0" w:space="0" w:color="auto"/>
          </w:divBdr>
        </w:div>
        <w:div w:id="701053497">
          <w:marLeft w:val="0"/>
          <w:marRight w:val="0"/>
          <w:marTop w:val="0"/>
          <w:marBottom w:val="0"/>
          <w:divBdr>
            <w:top w:val="none" w:sz="0" w:space="0" w:color="auto"/>
            <w:left w:val="none" w:sz="0" w:space="0" w:color="auto"/>
            <w:bottom w:val="none" w:sz="0" w:space="0" w:color="auto"/>
            <w:right w:val="none" w:sz="0" w:space="0" w:color="auto"/>
          </w:divBdr>
          <w:divsChild>
            <w:div w:id="1341732619">
              <w:marLeft w:val="-75"/>
              <w:marRight w:val="0"/>
              <w:marTop w:val="30"/>
              <w:marBottom w:val="30"/>
              <w:divBdr>
                <w:top w:val="none" w:sz="0" w:space="0" w:color="auto"/>
                <w:left w:val="none" w:sz="0" w:space="0" w:color="auto"/>
                <w:bottom w:val="none" w:sz="0" w:space="0" w:color="auto"/>
                <w:right w:val="none" w:sz="0" w:space="0" w:color="auto"/>
              </w:divBdr>
              <w:divsChild>
                <w:div w:id="131944178">
                  <w:marLeft w:val="0"/>
                  <w:marRight w:val="0"/>
                  <w:marTop w:val="0"/>
                  <w:marBottom w:val="0"/>
                  <w:divBdr>
                    <w:top w:val="none" w:sz="0" w:space="0" w:color="auto"/>
                    <w:left w:val="none" w:sz="0" w:space="0" w:color="auto"/>
                    <w:bottom w:val="none" w:sz="0" w:space="0" w:color="auto"/>
                    <w:right w:val="none" w:sz="0" w:space="0" w:color="auto"/>
                  </w:divBdr>
                  <w:divsChild>
                    <w:div w:id="1046182560">
                      <w:marLeft w:val="0"/>
                      <w:marRight w:val="0"/>
                      <w:marTop w:val="0"/>
                      <w:marBottom w:val="0"/>
                      <w:divBdr>
                        <w:top w:val="none" w:sz="0" w:space="0" w:color="auto"/>
                        <w:left w:val="none" w:sz="0" w:space="0" w:color="auto"/>
                        <w:bottom w:val="none" w:sz="0" w:space="0" w:color="auto"/>
                        <w:right w:val="none" w:sz="0" w:space="0" w:color="auto"/>
                      </w:divBdr>
                    </w:div>
                  </w:divsChild>
                </w:div>
                <w:div w:id="220018044">
                  <w:marLeft w:val="0"/>
                  <w:marRight w:val="0"/>
                  <w:marTop w:val="0"/>
                  <w:marBottom w:val="0"/>
                  <w:divBdr>
                    <w:top w:val="none" w:sz="0" w:space="0" w:color="auto"/>
                    <w:left w:val="none" w:sz="0" w:space="0" w:color="auto"/>
                    <w:bottom w:val="none" w:sz="0" w:space="0" w:color="auto"/>
                    <w:right w:val="none" w:sz="0" w:space="0" w:color="auto"/>
                  </w:divBdr>
                  <w:divsChild>
                    <w:div w:id="729882980">
                      <w:marLeft w:val="0"/>
                      <w:marRight w:val="0"/>
                      <w:marTop w:val="0"/>
                      <w:marBottom w:val="0"/>
                      <w:divBdr>
                        <w:top w:val="none" w:sz="0" w:space="0" w:color="auto"/>
                        <w:left w:val="none" w:sz="0" w:space="0" w:color="auto"/>
                        <w:bottom w:val="none" w:sz="0" w:space="0" w:color="auto"/>
                        <w:right w:val="none" w:sz="0" w:space="0" w:color="auto"/>
                      </w:divBdr>
                    </w:div>
                  </w:divsChild>
                </w:div>
                <w:div w:id="329988468">
                  <w:marLeft w:val="0"/>
                  <w:marRight w:val="0"/>
                  <w:marTop w:val="0"/>
                  <w:marBottom w:val="0"/>
                  <w:divBdr>
                    <w:top w:val="none" w:sz="0" w:space="0" w:color="auto"/>
                    <w:left w:val="none" w:sz="0" w:space="0" w:color="auto"/>
                    <w:bottom w:val="none" w:sz="0" w:space="0" w:color="auto"/>
                    <w:right w:val="none" w:sz="0" w:space="0" w:color="auto"/>
                  </w:divBdr>
                  <w:divsChild>
                    <w:div w:id="1976332310">
                      <w:marLeft w:val="0"/>
                      <w:marRight w:val="0"/>
                      <w:marTop w:val="0"/>
                      <w:marBottom w:val="0"/>
                      <w:divBdr>
                        <w:top w:val="none" w:sz="0" w:space="0" w:color="auto"/>
                        <w:left w:val="none" w:sz="0" w:space="0" w:color="auto"/>
                        <w:bottom w:val="none" w:sz="0" w:space="0" w:color="auto"/>
                        <w:right w:val="none" w:sz="0" w:space="0" w:color="auto"/>
                      </w:divBdr>
                    </w:div>
                  </w:divsChild>
                </w:div>
                <w:div w:id="354232941">
                  <w:marLeft w:val="0"/>
                  <w:marRight w:val="0"/>
                  <w:marTop w:val="0"/>
                  <w:marBottom w:val="0"/>
                  <w:divBdr>
                    <w:top w:val="none" w:sz="0" w:space="0" w:color="auto"/>
                    <w:left w:val="none" w:sz="0" w:space="0" w:color="auto"/>
                    <w:bottom w:val="none" w:sz="0" w:space="0" w:color="auto"/>
                    <w:right w:val="none" w:sz="0" w:space="0" w:color="auto"/>
                  </w:divBdr>
                  <w:divsChild>
                    <w:div w:id="2047363801">
                      <w:marLeft w:val="0"/>
                      <w:marRight w:val="0"/>
                      <w:marTop w:val="0"/>
                      <w:marBottom w:val="0"/>
                      <w:divBdr>
                        <w:top w:val="none" w:sz="0" w:space="0" w:color="auto"/>
                        <w:left w:val="none" w:sz="0" w:space="0" w:color="auto"/>
                        <w:bottom w:val="none" w:sz="0" w:space="0" w:color="auto"/>
                        <w:right w:val="none" w:sz="0" w:space="0" w:color="auto"/>
                      </w:divBdr>
                    </w:div>
                  </w:divsChild>
                </w:div>
                <w:div w:id="377357971">
                  <w:marLeft w:val="0"/>
                  <w:marRight w:val="0"/>
                  <w:marTop w:val="0"/>
                  <w:marBottom w:val="0"/>
                  <w:divBdr>
                    <w:top w:val="none" w:sz="0" w:space="0" w:color="auto"/>
                    <w:left w:val="none" w:sz="0" w:space="0" w:color="auto"/>
                    <w:bottom w:val="none" w:sz="0" w:space="0" w:color="auto"/>
                    <w:right w:val="none" w:sz="0" w:space="0" w:color="auto"/>
                  </w:divBdr>
                  <w:divsChild>
                    <w:div w:id="1462456246">
                      <w:marLeft w:val="0"/>
                      <w:marRight w:val="0"/>
                      <w:marTop w:val="0"/>
                      <w:marBottom w:val="0"/>
                      <w:divBdr>
                        <w:top w:val="none" w:sz="0" w:space="0" w:color="auto"/>
                        <w:left w:val="none" w:sz="0" w:space="0" w:color="auto"/>
                        <w:bottom w:val="none" w:sz="0" w:space="0" w:color="auto"/>
                        <w:right w:val="none" w:sz="0" w:space="0" w:color="auto"/>
                      </w:divBdr>
                    </w:div>
                  </w:divsChild>
                </w:div>
                <w:div w:id="665284483">
                  <w:marLeft w:val="0"/>
                  <w:marRight w:val="0"/>
                  <w:marTop w:val="0"/>
                  <w:marBottom w:val="0"/>
                  <w:divBdr>
                    <w:top w:val="none" w:sz="0" w:space="0" w:color="auto"/>
                    <w:left w:val="none" w:sz="0" w:space="0" w:color="auto"/>
                    <w:bottom w:val="none" w:sz="0" w:space="0" w:color="auto"/>
                    <w:right w:val="none" w:sz="0" w:space="0" w:color="auto"/>
                  </w:divBdr>
                  <w:divsChild>
                    <w:div w:id="1344624240">
                      <w:marLeft w:val="0"/>
                      <w:marRight w:val="0"/>
                      <w:marTop w:val="0"/>
                      <w:marBottom w:val="0"/>
                      <w:divBdr>
                        <w:top w:val="none" w:sz="0" w:space="0" w:color="auto"/>
                        <w:left w:val="none" w:sz="0" w:space="0" w:color="auto"/>
                        <w:bottom w:val="none" w:sz="0" w:space="0" w:color="auto"/>
                        <w:right w:val="none" w:sz="0" w:space="0" w:color="auto"/>
                      </w:divBdr>
                    </w:div>
                  </w:divsChild>
                </w:div>
                <w:div w:id="790711954">
                  <w:marLeft w:val="0"/>
                  <w:marRight w:val="0"/>
                  <w:marTop w:val="0"/>
                  <w:marBottom w:val="0"/>
                  <w:divBdr>
                    <w:top w:val="none" w:sz="0" w:space="0" w:color="auto"/>
                    <w:left w:val="none" w:sz="0" w:space="0" w:color="auto"/>
                    <w:bottom w:val="none" w:sz="0" w:space="0" w:color="auto"/>
                    <w:right w:val="none" w:sz="0" w:space="0" w:color="auto"/>
                  </w:divBdr>
                  <w:divsChild>
                    <w:div w:id="848375592">
                      <w:marLeft w:val="0"/>
                      <w:marRight w:val="0"/>
                      <w:marTop w:val="0"/>
                      <w:marBottom w:val="0"/>
                      <w:divBdr>
                        <w:top w:val="none" w:sz="0" w:space="0" w:color="auto"/>
                        <w:left w:val="none" w:sz="0" w:space="0" w:color="auto"/>
                        <w:bottom w:val="none" w:sz="0" w:space="0" w:color="auto"/>
                        <w:right w:val="none" w:sz="0" w:space="0" w:color="auto"/>
                      </w:divBdr>
                    </w:div>
                  </w:divsChild>
                </w:div>
                <w:div w:id="811411222">
                  <w:marLeft w:val="0"/>
                  <w:marRight w:val="0"/>
                  <w:marTop w:val="0"/>
                  <w:marBottom w:val="0"/>
                  <w:divBdr>
                    <w:top w:val="none" w:sz="0" w:space="0" w:color="auto"/>
                    <w:left w:val="none" w:sz="0" w:space="0" w:color="auto"/>
                    <w:bottom w:val="none" w:sz="0" w:space="0" w:color="auto"/>
                    <w:right w:val="none" w:sz="0" w:space="0" w:color="auto"/>
                  </w:divBdr>
                  <w:divsChild>
                    <w:div w:id="253782965">
                      <w:marLeft w:val="0"/>
                      <w:marRight w:val="0"/>
                      <w:marTop w:val="0"/>
                      <w:marBottom w:val="0"/>
                      <w:divBdr>
                        <w:top w:val="none" w:sz="0" w:space="0" w:color="auto"/>
                        <w:left w:val="none" w:sz="0" w:space="0" w:color="auto"/>
                        <w:bottom w:val="none" w:sz="0" w:space="0" w:color="auto"/>
                        <w:right w:val="none" w:sz="0" w:space="0" w:color="auto"/>
                      </w:divBdr>
                    </w:div>
                  </w:divsChild>
                </w:div>
                <w:div w:id="899630374">
                  <w:marLeft w:val="0"/>
                  <w:marRight w:val="0"/>
                  <w:marTop w:val="0"/>
                  <w:marBottom w:val="0"/>
                  <w:divBdr>
                    <w:top w:val="none" w:sz="0" w:space="0" w:color="auto"/>
                    <w:left w:val="none" w:sz="0" w:space="0" w:color="auto"/>
                    <w:bottom w:val="none" w:sz="0" w:space="0" w:color="auto"/>
                    <w:right w:val="none" w:sz="0" w:space="0" w:color="auto"/>
                  </w:divBdr>
                  <w:divsChild>
                    <w:div w:id="1053967399">
                      <w:marLeft w:val="0"/>
                      <w:marRight w:val="0"/>
                      <w:marTop w:val="0"/>
                      <w:marBottom w:val="0"/>
                      <w:divBdr>
                        <w:top w:val="none" w:sz="0" w:space="0" w:color="auto"/>
                        <w:left w:val="none" w:sz="0" w:space="0" w:color="auto"/>
                        <w:bottom w:val="none" w:sz="0" w:space="0" w:color="auto"/>
                        <w:right w:val="none" w:sz="0" w:space="0" w:color="auto"/>
                      </w:divBdr>
                    </w:div>
                  </w:divsChild>
                </w:div>
                <w:div w:id="1030110585">
                  <w:marLeft w:val="0"/>
                  <w:marRight w:val="0"/>
                  <w:marTop w:val="0"/>
                  <w:marBottom w:val="0"/>
                  <w:divBdr>
                    <w:top w:val="none" w:sz="0" w:space="0" w:color="auto"/>
                    <w:left w:val="none" w:sz="0" w:space="0" w:color="auto"/>
                    <w:bottom w:val="none" w:sz="0" w:space="0" w:color="auto"/>
                    <w:right w:val="none" w:sz="0" w:space="0" w:color="auto"/>
                  </w:divBdr>
                  <w:divsChild>
                    <w:div w:id="1595940894">
                      <w:marLeft w:val="0"/>
                      <w:marRight w:val="0"/>
                      <w:marTop w:val="0"/>
                      <w:marBottom w:val="0"/>
                      <w:divBdr>
                        <w:top w:val="none" w:sz="0" w:space="0" w:color="auto"/>
                        <w:left w:val="none" w:sz="0" w:space="0" w:color="auto"/>
                        <w:bottom w:val="none" w:sz="0" w:space="0" w:color="auto"/>
                        <w:right w:val="none" w:sz="0" w:space="0" w:color="auto"/>
                      </w:divBdr>
                    </w:div>
                  </w:divsChild>
                </w:div>
                <w:div w:id="1041631046">
                  <w:marLeft w:val="0"/>
                  <w:marRight w:val="0"/>
                  <w:marTop w:val="0"/>
                  <w:marBottom w:val="0"/>
                  <w:divBdr>
                    <w:top w:val="none" w:sz="0" w:space="0" w:color="auto"/>
                    <w:left w:val="none" w:sz="0" w:space="0" w:color="auto"/>
                    <w:bottom w:val="none" w:sz="0" w:space="0" w:color="auto"/>
                    <w:right w:val="none" w:sz="0" w:space="0" w:color="auto"/>
                  </w:divBdr>
                  <w:divsChild>
                    <w:div w:id="24866939">
                      <w:marLeft w:val="0"/>
                      <w:marRight w:val="0"/>
                      <w:marTop w:val="0"/>
                      <w:marBottom w:val="0"/>
                      <w:divBdr>
                        <w:top w:val="none" w:sz="0" w:space="0" w:color="auto"/>
                        <w:left w:val="none" w:sz="0" w:space="0" w:color="auto"/>
                        <w:bottom w:val="none" w:sz="0" w:space="0" w:color="auto"/>
                        <w:right w:val="none" w:sz="0" w:space="0" w:color="auto"/>
                      </w:divBdr>
                    </w:div>
                  </w:divsChild>
                </w:div>
                <w:div w:id="1047218176">
                  <w:marLeft w:val="0"/>
                  <w:marRight w:val="0"/>
                  <w:marTop w:val="0"/>
                  <w:marBottom w:val="0"/>
                  <w:divBdr>
                    <w:top w:val="none" w:sz="0" w:space="0" w:color="auto"/>
                    <w:left w:val="none" w:sz="0" w:space="0" w:color="auto"/>
                    <w:bottom w:val="none" w:sz="0" w:space="0" w:color="auto"/>
                    <w:right w:val="none" w:sz="0" w:space="0" w:color="auto"/>
                  </w:divBdr>
                  <w:divsChild>
                    <w:div w:id="140929550">
                      <w:marLeft w:val="0"/>
                      <w:marRight w:val="0"/>
                      <w:marTop w:val="0"/>
                      <w:marBottom w:val="0"/>
                      <w:divBdr>
                        <w:top w:val="none" w:sz="0" w:space="0" w:color="auto"/>
                        <w:left w:val="none" w:sz="0" w:space="0" w:color="auto"/>
                        <w:bottom w:val="none" w:sz="0" w:space="0" w:color="auto"/>
                        <w:right w:val="none" w:sz="0" w:space="0" w:color="auto"/>
                      </w:divBdr>
                    </w:div>
                  </w:divsChild>
                </w:div>
                <w:div w:id="1330020310">
                  <w:marLeft w:val="0"/>
                  <w:marRight w:val="0"/>
                  <w:marTop w:val="0"/>
                  <w:marBottom w:val="0"/>
                  <w:divBdr>
                    <w:top w:val="none" w:sz="0" w:space="0" w:color="auto"/>
                    <w:left w:val="none" w:sz="0" w:space="0" w:color="auto"/>
                    <w:bottom w:val="none" w:sz="0" w:space="0" w:color="auto"/>
                    <w:right w:val="none" w:sz="0" w:space="0" w:color="auto"/>
                  </w:divBdr>
                  <w:divsChild>
                    <w:div w:id="1653019595">
                      <w:marLeft w:val="0"/>
                      <w:marRight w:val="0"/>
                      <w:marTop w:val="0"/>
                      <w:marBottom w:val="0"/>
                      <w:divBdr>
                        <w:top w:val="none" w:sz="0" w:space="0" w:color="auto"/>
                        <w:left w:val="none" w:sz="0" w:space="0" w:color="auto"/>
                        <w:bottom w:val="none" w:sz="0" w:space="0" w:color="auto"/>
                        <w:right w:val="none" w:sz="0" w:space="0" w:color="auto"/>
                      </w:divBdr>
                    </w:div>
                    <w:div w:id="1716463871">
                      <w:marLeft w:val="0"/>
                      <w:marRight w:val="0"/>
                      <w:marTop w:val="0"/>
                      <w:marBottom w:val="0"/>
                      <w:divBdr>
                        <w:top w:val="none" w:sz="0" w:space="0" w:color="auto"/>
                        <w:left w:val="none" w:sz="0" w:space="0" w:color="auto"/>
                        <w:bottom w:val="none" w:sz="0" w:space="0" w:color="auto"/>
                        <w:right w:val="none" w:sz="0" w:space="0" w:color="auto"/>
                      </w:divBdr>
                    </w:div>
                  </w:divsChild>
                </w:div>
                <w:div w:id="1494443500">
                  <w:marLeft w:val="0"/>
                  <w:marRight w:val="0"/>
                  <w:marTop w:val="0"/>
                  <w:marBottom w:val="0"/>
                  <w:divBdr>
                    <w:top w:val="none" w:sz="0" w:space="0" w:color="auto"/>
                    <w:left w:val="none" w:sz="0" w:space="0" w:color="auto"/>
                    <w:bottom w:val="none" w:sz="0" w:space="0" w:color="auto"/>
                    <w:right w:val="none" w:sz="0" w:space="0" w:color="auto"/>
                  </w:divBdr>
                  <w:divsChild>
                    <w:div w:id="1677075020">
                      <w:marLeft w:val="0"/>
                      <w:marRight w:val="0"/>
                      <w:marTop w:val="0"/>
                      <w:marBottom w:val="0"/>
                      <w:divBdr>
                        <w:top w:val="none" w:sz="0" w:space="0" w:color="auto"/>
                        <w:left w:val="none" w:sz="0" w:space="0" w:color="auto"/>
                        <w:bottom w:val="none" w:sz="0" w:space="0" w:color="auto"/>
                        <w:right w:val="none" w:sz="0" w:space="0" w:color="auto"/>
                      </w:divBdr>
                    </w:div>
                  </w:divsChild>
                </w:div>
                <w:div w:id="1736049960">
                  <w:marLeft w:val="0"/>
                  <w:marRight w:val="0"/>
                  <w:marTop w:val="0"/>
                  <w:marBottom w:val="0"/>
                  <w:divBdr>
                    <w:top w:val="none" w:sz="0" w:space="0" w:color="auto"/>
                    <w:left w:val="none" w:sz="0" w:space="0" w:color="auto"/>
                    <w:bottom w:val="none" w:sz="0" w:space="0" w:color="auto"/>
                    <w:right w:val="none" w:sz="0" w:space="0" w:color="auto"/>
                  </w:divBdr>
                  <w:divsChild>
                    <w:div w:id="1536305254">
                      <w:marLeft w:val="0"/>
                      <w:marRight w:val="0"/>
                      <w:marTop w:val="0"/>
                      <w:marBottom w:val="0"/>
                      <w:divBdr>
                        <w:top w:val="none" w:sz="0" w:space="0" w:color="auto"/>
                        <w:left w:val="none" w:sz="0" w:space="0" w:color="auto"/>
                        <w:bottom w:val="none" w:sz="0" w:space="0" w:color="auto"/>
                        <w:right w:val="none" w:sz="0" w:space="0" w:color="auto"/>
                      </w:divBdr>
                    </w:div>
                  </w:divsChild>
                </w:div>
                <w:div w:id="1938246094">
                  <w:marLeft w:val="0"/>
                  <w:marRight w:val="0"/>
                  <w:marTop w:val="0"/>
                  <w:marBottom w:val="0"/>
                  <w:divBdr>
                    <w:top w:val="none" w:sz="0" w:space="0" w:color="auto"/>
                    <w:left w:val="none" w:sz="0" w:space="0" w:color="auto"/>
                    <w:bottom w:val="none" w:sz="0" w:space="0" w:color="auto"/>
                    <w:right w:val="none" w:sz="0" w:space="0" w:color="auto"/>
                  </w:divBdr>
                  <w:divsChild>
                    <w:div w:id="433356104">
                      <w:marLeft w:val="0"/>
                      <w:marRight w:val="0"/>
                      <w:marTop w:val="0"/>
                      <w:marBottom w:val="0"/>
                      <w:divBdr>
                        <w:top w:val="none" w:sz="0" w:space="0" w:color="auto"/>
                        <w:left w:val="none" w:sz="0" w:space="0" w:color="auto"/>
                        <w:bottom w:val="none" w:sz="0" w:space="0" w:color="auto"/>
                        <w:right w:val="none" w:sz="0" w:space="0" w:color="auto"/>
                      </w:divBdr>
                    </w:div>
                  </w:divsChild>
                </w:div>
                <w:div w:id="2043937205">
                  <w:marLeft w:val="0"/>
                  <w:marRight w:val="0"/>
                  <w:marTop w:val="0"/>
                  <w:marBottom w:val="0"/>
                  <w:divBdr>
                    <w:top w:val="none" w:sz="0" w:space="0" w:color="auto"/>
                    <w:left w:val="none" w:sz="0" w:space="0" w:color="auto"/>
                    <w:bottom w:val="none" w:sz="0" w:space="0" w:color="auto"/>
                    <w:right w:val="none" w:sz="0" w:space="0" w:color="auto"/>
                  </w:divBdr>
                  <w:divsChild>
                    <w:div w:id="1377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813">
          <w:marLeft w:val="0"/>
          <w:marRight w:val="0"/>
          <w:marTop w:val="0"/>
          <w:marBottom w:val="0"/>
          <w:divBdr>
            <w:top w:val="none" w:sz="0" w:space="0" w:color="auto"/>
            <w:left w:val="none" w:sz="0" w:space="0" w:color="auto"/>
            <w:bottom w:val="none" w:sz="0" w:space="0" w:color="auto"/>
            <w:right w:val="none" w:sz="0" w:space="0" w:color="auto"/>
          </w:divBdr>
        </w:div>
        <w:div w:id="1018198360">
          <w:marLeft w:val="0"/>
          <w:marRight w:val="0"/>
          <w:marTop w:val="0"/>
          <w:marBottom w:val="0"/>
          <w:divBdr>
            <w:top w:val="none" w:sz="0" w:space="0" w:color="auto"/>
            <w:left w:val="none" w:sz="0" w:space="0" w:color="auto"/>
            <w:bottom w:val="none" w:sz="0" w:space="0" w:color="auto"/>
            <w:right w:val="none" w:sz="0" w:space="0" w:color="auto"/>
          </w:divBdr>
        </w:div>
        <w:div w:id="1076056342">
          <w:marLeft w:val="0"/>
          <w:marRight w:val="0"/>
          <w:marTop w:val="0"/>
          <w:marBottom w:val="0"/>
          <w:divBdr>
            <w:top w:val="none" w:sz="0" w:space="0" w:color="auto"/>
            <w:left w:val="none" w:sz="0" w:space="0" w:color="auto"/>
            <w:bottom w:val="none" w:sz="0" w:space="0" w:color="auto"/>
            <w:right w:val="none" w:sz="0" w:space="0" w:color="auto"/>
          </w:divBdr>
        </w:div>
        <w:div w:id="1124882868">
          <w:marLeft w:val="0"/>
          <w:marRight w:val="0"/>
          <w:marTop w:val="0"/>
          <w:marBottom w:val="0"/>
          <w:divBdr>
            <w:top w:val="none" w:sz="0" w:space="0" w:color="auto"/>
            <w:left w:val="none" w:sz="0" w:space="0" w:color="auto"/>
            <w:bottom w:val="none" w:sz="0" w:space="0" w:color="auto"/>
            <w:right w:val="none" w:sz="0" w:space="0" w:color="auto"/>
          </w:divBdr>
        </w:div>
        <w:div w:id="1129740744">
          <w:marLeft w:val="0"/>
          <w:marRight w:val="0"/>
          <w:marTop w:val="0"/>
          <w:marBottom w:val="0"/>
          <w:divBdr>
            <w:top w:val="none" w:sz="0" w:space="0" w:color="auto"/>
            <w:left w:val="none" w:sz="0" w:space="0" w:color="auto"/>
            <w:bottom w:val="none" w:sz="0" w:space="0" w:color="auto"/>
            <w:right w:val="none" w:sz="0" w:space="0" w:color="auto"/>
          </w:divBdr>
        </w:div>
        <w:div w:id="1197691806">
          <w:marLeft w:val="0"/>
          <w:marRight w:val="0"/>
          <w:marTop w:val="0"/>
          <w:marBottom w:val="0"/>
          <w:divBdr>
            <w:top w:val="none" w:sz="0" w:space="0" w:color="auto"/>
            <w:left w:val="none" w:sz="0" w:space="0" w:color="auto"/>
            <w:bottom w:val="none" w:sz="0" w:space="0" w:color="auto"/>
            <w:right w:val="none" w:sz="0" w:space="0" w:color="auto"/>
          </w:divBdr>
        </w:div>
        <w:div w:id="1255941163">
          <w:marLeft w:val="0"/>
          <w:marRight w:val="0"/>
          <w:marTop w:val="0"/>
          <w:marBottom w:val="0"/>
          <w:divBdr>
            <w:top w:val="none" w:sz="0" w:space="0" w:color="auto"/>
            <w:left w:val="none" w:sz="0" w:space="0" w:color="auto"/>
            <w:bottom w:val="none" w:sz="0" w:space="0" w:color="auto"/>
            <w:right w:val="none" w:sz="0" w:space="0" w:color="auto"/>
          </w:divBdr>
        </w:div>
        <w:div w:id="1310859665">
          <w:marLeft w:val="0"/>
          <w:marRight w:val="0"/>
          <w:marTop w:val="0"/>
          <w:marBottom w:val="0"/>
          <w:divBdr>
            <w:top w:val="none" w:sz="0" w:space="0" w:color="auto"/>
            <w:left w:val="none" w:sz="0" w:space="0" w:color="auto"/>
            <w:bottom w:val="none" w:sz="0" w:space="0" w:color="auto"/>
            <w:right w:val="none" w:sz="0" w:space="0" w:color="auto"/>
          </w:divBdr>
        </w:div>
        <w:div w:id="1397970486">
          <w:marLeft w:val="0"/>
          <w:marRight w:val="0"/>
          <w:marTop w:val="0"/>
          <w:marBottom w:val="0"/>
          <w:divBdr>
            <w:top w:val="none" w:sz="0" w:space="0" w:color="auto"/>
            <w:left w:val="none" w:sz="0" w:space="0" w:color="auto"/>
            <w:bottom w:val="none" w:sz="0" w:space="0" w:color="auto"/>
            <w:right w:val="none" w:sz="0" w:space="0" w:color="auto"/>
          </w:divBdr>
        </w:div>
        <w:div w:id="1547110076">
          <w:marLeft w:val="0"/>
          <w:marRight w:val="0"/>
          <w:marTop w:val="0"/>
          <w:marBottom w:val="0"/>
          <w:divBdr>
            <w:top w:val="none" w:sz="0" w:space="0" w:color="auto"/>
            <w:left w:val="none" w:sz="0" w:space="0" w:color="auto"/>
            <w:bottom w:val="none" w:sz="0" w:space="0" w:color="auto"/>
            <w:right w:val="none" w:sz="0" w:space="0" w:color="auto"/>
          </w:divBdr>
        </w:div>
        <w:div w:id="1612128316">
          <w:marLeft w:val="0"/>
          <w:marRight w:val="0"/>
          <w:marTop w:val="0"/>
          <w:marBottom w:val="0"/>
          <w:divBdr>
            <w:top w:val="none" w:sz="0" w:space="0" w:color="auto"/>
            <w:left w:val="none" w:sz="0" w:space="0" w:color="auto"/>
            <w:bottom w:val="none" w:sz="0" w:space="0" w:color="auto"/>
            <w:right w:val="none" w:sz="0" w:space="0" w:color="auto"/>
          </w:divBdr>
        </w:div>
        <w:div w:id="1693991126">
          <w:marLeft w:val="0"/>
          <w:marRight w:val="0"/>
          <w:marTop w:val="0"/>
          <w:marBottom w:val="0"/>
          <w:divBdr>
            <w:top w:val="none" w:sz="0" w:space="0" w:color="auto"/>
            <w:left w:val="none" w:sz="0" w:space="0" w:color="auto"/>
            <w:bottom w:val="none" w:sz="0" w:space="0" w:color="auto"/>
            <w:right w:val="none" w:sz="0" w:space="0" w:color="auto"/>
          </w:divBdr>
        </w:div>
        <w:div w:id="1707560094">
          <w:marLeft w:val="0"/>
          <w:marRight w:val="0"/>
          <w:marTop w:val="0"/>
          <w:marBottom w:val="0"/>
          <w:divBdr>
            <w:top w:val="none" w:sz="0" w:space="0" w:color="auto"/>
            <w:left w:val="none" w:sz="0" w:space="0" w:color="auto"/>
            <w:bottom w:val="none" w:sz="0" w:space="0" w:color="auto"/>
            <w:right w:val="none" w:sz="0" w:space="0" w:color="auto"/>
          </w:divBdr>
        </w:div>
        <w:div w:id="1729067045">
          <w:marLeft w:val="0"/>
          <w:marRight w:val="0"/>
          <w:marTop w:val="0"/>
          <w:marBottom w:val="0"/>
          <w:divBdr>
            <w:top w:val="none" w:sz="0" w:space="0" w:color="auto"/>
            <w:left w:val="none" w:sz="0" w:space="0" w:color="auto"/>
            <w:bottom w:val="none" w:sz="0" w:space="0" w:color="auto"/>
            <w:right w:val="none" w:sz="0" w:space="0" w:color="auto"/>
          </w:divBdr>
        </w:div>
        <w:div w:id="1730222263">
          <w:marLeft w:val="0"/>
          <w:marRight w:val="0"/>
          <w:marTop w:val="0"/>
          <w:marBottom w:val="0"/>
          <w:divBdr>
            <w:top w:val="none" w:sz="0" w:space="0" w:color="auto"/>
            <w:left w:val="none" w:sz="0" w:space="0" w:color="auto"/>
            <w:bottom w:val="none" w:sz="0" w:space="0" w:color="auto"/>
            <w:right w:val="none" w:sz="0" w:space="0" w:color="auto"/>
          </w:divBdr>
        </w:div>
        <w:div w:id="1813793020">
          <w:marLeft w:val="0"/>
          <w:marRight w:val="0"/>
          <w:marTop w:val="0"/>
          <w:marBottom w:val="0"/>
          <w:divBdr>
            <w:top w:val="none" w:sz="0" w:space="0" w:color="auto"/>
            <w:left w:val="none" w:sz="0" w:space="0" w:color="auto"/>
            <w:bottom w:val="none" w:sz="0" w:space="0" w:color="auto"/>
            <w:right w:val="none" w:sz="0" w:space="0" w:color="auto"/>
          </w:divBdr>
        </w:div>
        <w:div w:id="1846238816">
          <w:marLeft w:val="0"/>
          <w:marRight w:val="0"/>
          <w:marTop w:val="0"/>
          <w:marBottom w:val="0"/>
          <w:divBdr>
            <w:top w:val="none" w:sz="0" w:space="0" w:color="auto"/>
            <w:left w:val="none" w:sz="0" w:space="0" w:color="auto"/>
            <w:bottom w:val="none" w:sz="0" w:space="0" w:color="auto"/>
            <w:right w:val="none" w:sz="0" w:space="0" w:color="auto"/>
          </w:divBdr>
        </w:div>
        <w:div w:id="1867404086">
          <w:marLeft w:val="0"/>
          <w:marRight w:val="0"/>
          <w:marTop w:val="0"/>
          <w:marBottom w:val="0"/>
          <w:divBdr>
            <w:top w:val="none" w:sz="0" w:space="0" w:color="auto"/>
            <w:left w:val="none" w:sz="0" w:space="0" w:color="auto"/>
            <w:bottom w:val="none" w:sz="0" w:space="0" w:color="auto"/>
            <w:right w:val="none" w:sz="0" w:space="0" w:color="auto"/>
          </w:divBdr>
        </w:div>
        <w:div w:id="1971855832">
          <w:marLeft w:val="0"/>
          <w:marRight w:val="0"/>
          <w:marTop w:val="0"/>
          <w:marBottom w:val="0"/>
          <w:divBdr>
            <w:top w:val="none" w:sz="0" w:space="0" w:color="auto"/>
            <w:left w:val="none" w:sz="0" w:space="0" w:color="auto"/>
            <w:bottom w:val="none" w:sz="0" w:space="0" w:color="auto"/>
            <w:right w:val="none" w:sz="0" w:space="0" w:color="auto"/>
          </w:divBdr>
        </w:div>
        <w:div w:id="2023118071">
          <w:marLeft w:val="0"/>
          <w:marRight w:val="0"/>
          <w:marTop w:val="0"/>
          <w:marBottom w:val="0"/>
          <w:divBdr>
            <w:top w:val="none" w:sz="0" w:space="0" w:color="auto"/>
            <w:left w:val="none" w:sz="0" w:space="0" w:color="auto"/>
            <w:bottom w:val="none" w:sz="0" w:space="0" w:color="auto"/>
            <w:right w:val="none" w:sz="0" w:space="0" w:color="auto"/>
          </w:divBdr>
        </w:div>
        <w:div w:id="2079935533">
          <w:marLeft w:val="0"/>
          <w:marRight w:val="0"/>
          <w:marTop w:val="0"/>
          <w:marBottom w:val="0"/>
          <w:divBdr>
            <w:top w:val="none" w:sz="0" w:space="0" w:color="auto"/>
            <w:left w:val="none" w:sz="0" w:space="0" w:color="auto"/>
            <w:bottom w:val="none" w:sz="0" w:space="0" w:color="auto"/>
            <w:right w:val="none" w:sz="0" w:space="0" w:color="auto"/>
          </w:divBdr>
        </w:div>
        <w:div w:id="2101294001">
          <w:marLeft w:val="0"/>
          <w:marRight w:val="0"/>
          <w:marTop w:val="0"/>
          <w:marBottom w:val="0"/>
          <w:divBdr>
            <w:top w:val="none" w:sz="0" w:space="0" w:color="auto"/>
            <w:left w:val="none" w:sz="0" w:space="0" w:color="auto"/>
            <w:bottom w:val="none" w:sz="0" w:space="0" w:color="auto"/>
            <w:right w:val="none" w:sz="0" w:space="0" w:color="auto"/>
          </w:divBdr>
          <w:divsChild>
            <w:div w:id="921529315">
              <w:marLeft w:val="-75"/>
              <w:marRight w:val="0"/>
              <w:marTop w:val="30"/>
              <w:marBottom w:val="30"/>
              <w:divBdr>
                <w:top w:val="none" w:sz="0" w:space="0" w:color="auto"/>
                <w:left w:val="none" w:sz="0" w:space="0" w:color="auto"/>
                <w:bottom w:val="none" w:sz="0" w:space="0" w:color="auto"/>
                <w:right w:val="none" w:sz="0" w:space="0" w:color="auto"/>
              </w:divBdr>
              <w:divsChild>
                <w:div w:id="31225345">
                  <w:marLeft w:val="0"/>
                  <w:marRight w:val="0"/>
                  <w:marTop w:val="0"/>
                  <w:marBottom w:val="0"/>
                  <w:divBdr>
                    <w:top w:val="none" w:sz="0" w:space="0" w:color="auto"/>
                    <w:left w:val="none" w:sz="0" w:space="0" w:color="auto"/>
                    <w:bottom w:val="none" w:sz="0" w:space="0" w:color="auto"/>
                    <w:right w:val="none" w:sz="0" w:space="0" w:color="auto"/>
                  </w:divBdr>
                  <w:divsChild>
                    <w:div w:id="873494817">
                      <w:marLeft w:val="0"/>
                      <w:marRight w:val="0"/>
                      <w:marTop w:val="0"/>
                      <w:marBottom w:val="0"/>
                      <w:divBdr>
                        <w:top w:val="none" w:sz="0" w:space="0" w:color="auto"/>
                        <w:left w:val="none" w:sz="0" w:space="0" w:color="auto"/>
                        <w:bottom w:val="none" w:sz="0" w:space="0" w:color="auto"/>
                        <w:right w:val="none" w:sz="0" w:space="0" w:color="auto"/>
                      </w:divBdr>
                    </w:div>
                  </w:divsChild>
                </w:div>
                <w:div w:id="365838735">
                  <w:marLeft w:val="0"/>
                  <w:marRight w:val="0"/>
                  <w:marTop w:val="0"/>
                  <w:marBottom w:val="0"/>
                  <w:divBdr>
                    <w:top w:val="none" w:sz="0" w:space="0" w:color="auto"/>
                    <w:left w:val="none" w:sz="0" w:space="0" w:color="auto"/>
                    <w:bottom w:val="none" w:sz="0" w:space="0" w:color="auto"/>
                    <w:right w:val="none" w:sz="0" w:space="0" w:color="auto"/>
                  </w:divBdr>
                  <w:divsChild>
                    <w:div w:id="944192120">
                      <w:marLeft w:val="0"/>
                      <w:marRight w:val="0"/>
                      <w:marTop w:val="0"/>
                      <w:marBottom w:val="0"/>
                      <w:divBdr>
                        <w:top w:val="none" w:sz="0" w:space="0" w:color="auto"/>
                        <w:left w:val="none" w:sz="0" w:space="0" w:color="auto"/>
                        <w:bottom w:val="none" w:sz="0" w:space="0" w:color="auto"/>
                        <w:right w:val="none" w:sz="0" w:space="0" w:color="auto"/>
                      </w:divBdr>
                    </w:div>
                  </w:divsChild>
                </w:div>
                <w:div w:id="512110577">
                  <w:marLeft w:val="0"/>
                  <w:marRight w:val="0"/>
                  <w:marTop w:val="0"/>
                  <w:marBottom w:val="0"/>
                  <w:divBdr>
                    <w:top w:val="none" w:sz="0" w:space="0" w:color="auto"/>
                    <w:left w:val="none" w:sz="0" w:space="0" w:color="auto"/>
                    <w:bottom w:val="none" w:sz="0" w:space="0" w:color="auto"/>
                    <w:right w:val="none" w:sz="0" w:space="0" w:color="auto"/>
                  </w:divBdr>
                  <w:divsChild>
                    <w:div w:id="1665620322">
                      <w:marLeft w:val="0"/>
                      <w:marRight w:val="0"/>
                      <w:marTop w:val="0"/>
                      <w:marBottom w:val="0"/>
                      <w:divBdr>
                        <w:top w:val="none" w:sz="0" w:space="0" w:color="auto"/>
                        <w:left w:val="none" w:sz="0" w:space="0" w:color="auto"/>
                        <w:bottom w:val="none" w:sz="0" w:space="0" w:color="auto"/>
                        <w:right w:val="none" w:sz="0" w:space="0" w:color="auto"/>
                      </w:divBdr>
                    </w:div>
                  </w:divsChild>
                </w:div>
                <w:div w:id="641807473">
                  <w:marLeft w:val="0"/>
                  <w:marRight w:val="0"/>
                  <w:marTop w:val="0"/>
                  <w:marBottom w:val="0"/>
                  <w:divBdr>
                    <w:top w:val="none" w:sz="0" w:space="0" w:color="auto"/>
                    <w:left w:val="none" w:sz="0" w:space="0" w:color="auto"/>
                    <w:bottom w:val="none" w:sz="0" w:space="0" w:color="auto"/>
                    <w:right w:val="none" w:sz="0" w:space="0" w:color="auto"/>
                  </w:divBdr>
                  <w:divsChild>
                    <w:div w:id="599071423">
                      <w:marLeft w:val="0"/>
                      <w:marRight w:val="0"/>
                      <w:marTop w:val="0"/>
                      <w:marBottom w:val="0"/>
                      <w:divBdr>
                        <w:top w:val="none" w:sz="0" w:space="0" w:color="auto"/>
                        <w:left w:val="none" w:sz="0" w:space="0" w:color="auto"/>
                        <w:bottom w:val="none" w:sz="0" w:space="0" w:color="auto"/>
                        <w:right w:val="none" w:sz="0" w:space="0" w:color="auto"/>
                      </w:divBdr>
                    </w:div>
                  </w:divsChild>
                </w:div>
                <w:div w:id="1057700590">
                  <w:marLeft w:val="0"/>
                  <w:marRight w:val="0"/>
                  <w:marTop w:val="0"/>
                  <w:marBottom w:val="0"/>
                  <w:divBdr>
                    <w:top w:val="none" w:sz="0" w:space="0" w:color="auto"/>
                    <w:left w:val="none" w:sz="0" w:space="0" w:color="auto"/>
                    <w:bottom w:val="none" w:sz="0" w:space="0" w:color="auto"/>
                    <w:right w:val="none" w:sz="0" w:space="0" w:color="auto"/>
                  </w:divBdr>
                  <w:divsChild>
                    <w:div w:id="1336497009">
                      <w:marLeft w:val="0"/>
                      <w:marRight w:val="0"/>
                      <w:marTop w:val="0"/>
                      <w:marBottom w:val="0"/>
                      <w:divBdr>
                        <w:top w:val="none" w:sz="0" w:space="0" w:color="auto"/>
                        <w:left w:val="none" w:sz="0" w:space="0" w:color="auto"/>
                        <w:bottom w:val="none" w:sz="0" w:space="0" w:color="auto"/>
                        <w:right w:val="none" w:sz="0" w:space="0" w:color="auto"/>
                      </w:divBdr>
                    </w:div>
                  </w:divsChild>
                </w:div>
                <w:div w:id="1221747411">
                  <w:marLeft w:val="0"/>
                  <w:marRight w:val="0"/>
                  <w:marTop w:val="0"/>
                  <w:marBottom w:val="0"/>
                  <w:divBdr>
                    <w:top w:val="none" w:sz="0" w:space="0" w:color="auto"/>
                    <w:left w:val="none" w:sz="0" w:space="0" w:color="auto"/>
                    <w:bottom w:val="none" w:sz="0" w:space="0" w:color="auto"/>
                    <w:right w:val="none" w:sz="0" w:space="0" w:color="auto"/>
                  </w:divBdr>
                  <w:divsChild>
                    <w:div w:id="1655718301">
                      <w:marLeft w:val="0"/>
                      <w:marRight w:val="0"/>
                      <w:marTop w:val="0"/>
                      <w:marBottom w:val="0"/>
                      <w:divBdr>
                        <w:top w:val="none" w:sz="0" w:space="0" w:color="auto"/>
                        <w:left w:val="none" w:sz="0" w:space="0" w:color="auto"/>
                        <w:bottom w:val="none" w:sz="0" w:space="0" w:color="auto"/>
                        <w:right w:val="none" w:sz="0" w:space="0" w:color="auto"/>
                      </w:divBdr>
                    </w:div>
                  </w:divsChild>
                </w:div>
                <w:div w:id="1381586322">
                  <w:marLeft w:val="0"/>
                  <w:marRight w:val="0"/>
                  <w:marTop w:val="0"/>
                  <w:marBottom w:val="0"/>
                  <w:divBdr>
                    <w:top w:val="none" w:sz="0" w:space="0" w:color="auto"/>
                    <w:left w:val="none" w:sz="0" w:space="0" w:color="auto"/>
                    <w:bottom w:val="none" w:sz="0" w:space="0" w:color="auto"/>
                    <w:right w:val="none" w:sz="0" w:space="0" w:color="auto"/>
                  </w:divBdr>
                  <w:divsChild>
                    <w:div w:id="1632906869">
                      <w:marLeft w:val="0"/>
                      <w:marRight w:val="0"/>
                      <w:marTop w:val="0"/>
                      <w:marBottom w:val="0"/>
                      <w:divBdr>
                        <w:top w:val="none" w:sz="0" w:space="0" w:color="auto"/>
                        <w:left w:val="none" w:sz="0" w:space="0" w:color="auto"/>
                        <w:bottom w:val="none" w:sz="0" w:space="0" w:color="auto"/>
                        <w:right w:val="none" w:sz="0" w:space="0" w:color="auto"/>
                      </w:divBdr>
                    </w:div>
                  </w:divsChild>
                </w:div>
                <w:div w:id="1445348194">
                  <w:marLeft w:val="0"/>
                  <w:marRight w:val="0"/>
                  <w:marTop w:val="0"/>
                  <w:marBottom w:val="0"/>
                  <w:divBdr>
                    <w:top w:val="none" w:sz="0" w:space="0" w:color="auto"/>
                    <w:left w:val="none" w:sz="0" w:space="0" w:color="auto"/>
                    <w:bottom w:val="none" w:sz="0" w:space="0" w:color="auto"/>
                    <w:right w:val="none" w:sz="0" w:space="0" w:color="auto"/>
                  </w:divBdr>
                  <w:divsChild>
                    <w:div w:id="700857804">
                      <w:marLeft w:val="0"/>
                      <w:marRight w:val="0"/>
                      <w:marTop w:val="0"/>
                      <w:marBottom w:val="0"/>
                      <w:divBdr>
                        <w:top w:val="none" w:sz="0" w:space="0" w:color="auto"/>
                        <w:left w:val="none" w:sz="0" w:space="0" w:color="auto"/>
                        <w:bottom w:val="none" w:sz="0" w:space="0" w:color="auto"/>
                        <w:right w:val="none" w:sz="0" w:space="0" w:color="auto"/>
                      </w:divBdr>
                    </w:div>
                  </w:divsChild>
                </w:div>
                <w:div w:id="1559978095">
                  <w:marLeft w:val="0"/>
                  <w:marRight w:val="0"/>
                  <w:marTop w:val="0"/>
                  <w:marBottom w:val="0"/>
                  <w:divBdr>
                    <w:top w:val="none" w:sz="0" w:space="0" w:color="auto"/>
                    <w:left w:val="none" w:sz="0" w:space="0" w:color="auto"/>
                    <w:bottom w:val="none" w:sz="0" w:space="0" w:color="auto"/>
                    <w:right w:val="none" w:sz="0" w:space="0" w:color="auto"/>
                  </w:divBdr>
                  <w:divsChild>
                    <w:div w:id="884829828">
                      <w:marLeft w:val="0"/>
                      <w:marRight w:val="0"/>
                      <w:marTop w:val="0"/>
                      <w:marBottom w:val="0"/>
                      <w:divBdr>
                        <w:top w:val="none" w:sz="0" w:space="0" w:color="auto"/>
                        <w:left w:val="none" w:sz="0" w:space="0" w:color="auto"/>
                        <w:bottom w:val="none" w:sz="0" w:space="0" w:color="auto"/>
                        <w:right w:val="none" w:sz="0" w:space="0" w:color="auto"/>
                      </w:divBdr>
                    </w:div>
                  </w:divsChild>
                </w:div>
                <w:div w:id="1967545168">
                  <w:marLeft w:val="0"/>
                  <w:marRight w:val="0"/>
                  <w:marTop w:val="0"/>
                  <w:marBottom w:val="0"/>
                  <w:divBdr>
                    <w:top w:val="none" w:sz="0" w:space="0" w:color="auto"/>
                    <w:left w:val="none" w:sz="0" w:space="0" w:color="auto"/>
                    <w:bottom w:val="none" w:sz="0" w:space="0" w:color="auto"/>
                    <w:right w:val="none" w:sz="0" w:space="0" w:color="auto"/>
                  </w:divBdr>
                  <w:divsChild>
                    <w:div w:id="7605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38875">
          <w:marLeft w:val="0"/>
          <w:marRight w:val="0"/>
          <w:marTop w:val="0"/>
          <w:marBottom w:val="0"/>
          <w:divBdr>
            <w:top w:val="none" w:sz="0" w:space="0" w:color="auto"/>
            <w:left w:val="none" w:sz="0" w:space="0" w:color="auto"/>
            <w:bottom w:val="none" w:sz="0" w:space="0" w:color="auto"/>
            <w:right w:val="none" w:sz="0" w:space="0" w:color="auto"/>
          </w:divBdr>
        </w:div>
        <w:div w:id="2125537205">
          <w:marLeft w:val="0"/>
          <w:marRight w:val="0"/>
          <w:marTop w:val="0"/>
          <w:marBottom w:val="0"/>
          <w:divBdr>
            <w:top w:val="none" w:sz="0" w:space="0" w:color="auto"/>
            <w:left w:val="none" w:sz="0" w:space="0" w:color="auto"/>
            <w:bottom w:val="none" w:sz="0" w:space="0" w:color="auto"/>
            <w:right w:val="none" w:sz="0" w:space="0" w:color="auto"/>
          </w:divBdr>
        </w:div>
      </w:divsChild>
    </w:div>
    <w:div w:id="1596207481">
      <w:bodyDiv w:val="1"/>
      <w:marLeft w:val="0"/>
      <w:marRight w:val="0"/>
      <w:marTop w:val="0"/>
      <w:marBottom w:val="0"/>
      <w:divBdr>
        <w:top w:val="none" w:sz="0" w:space="0" w:color="auto"/>
        <w:left w:val="none" w:sz="0" w:space="0" w:color="auto"/>
        <w:bottom w:val="none" w:sz="0" w:space="0" w:color="auto"/>
        <w:right w:val="none" w:sz="0" w:space="0" w:color="auto"/>
      </w:divBdr>
      <w:divsChild>
        <w:div w:id="6298655">
          <w:marLeft w:val="0"/>
          <w:marRight w:val="0"/>
          <w:marTop w:val="0"/>
          <w:marBottom w:val="0"/>
          <w:divBdr>
            <w:top w:val="none" w:sz="0" w:space="0" w:color="auto"/>
            <w:left w:val="none" w:sz="0" w:space="0" w:color="auto"/>
            <w:bottom w:val="none" w:sz="0" w:space="0" w:color="auto"/>
            <w:right w:val="none" w:sz="0" w:space="0" w:color="auto"/>
          </w:divBdr>
        </w:div>
        <w:div w:id="9185760">
          <w:marLeft w:val="0"/>
          <w:marRight w:val="0"/>
          <w:marTop w:val="0"/>
          <w:marBottom w:val="0"/>
          <w:divBdr>
            <w:top w:val="none" w:sz="0" w:space="0" w:color="auto"/>
            <w:left w:val="none" w:sz="0" w:space="0" w:color="auto"/>
            <w:bottom w:val="none" w:sz="0" w:space="0" w:color="auto"/>
            <w:right w:val="none" w:sz="0" w:space="0" w:color="auto"/>
          </w:divBdr>
        </w:div>
        <w:div w:id="48962726">
          <w:marLeft w:val="0"/>
          <w:marRight w:val="0"/>
          <w:marTop w:val="0"/>
          <w:marBottom w:val="0"/>
          <w:divBdr>
            <w:top w:val="none" w:sz="0" w:space="0" w:color="auto"/>
            <w:left w:val="none" w:sz="0" w:space="0" w:color="auto"/>
            <w:bottom w:val="none" w:sz="0" w:space="0" w:color="auto"/>
            <w:right w:val="none" w:sz="0" w:space="0" w:color="auto"/>
          </w:divBdr>
        </w:div>
        <w:div w:id="91556649">
          <w:marLeft w:val="0"/>
          <w:marRight w:val="0"/>
          <w:marTop w:val="0"/>
          <w:marBottom w:val="0"/>
          <w:divBdr>
            <w:top w:val="none" w:sz="0" w:space="0" w:color="auto"/>
            <w:left w:val="none" w:sz="0" w:space="0" w:color="auto"/>
            <w:bottom w:val="none" w:sz="0" w:space="0" w:color="auto"/>
            <w:right w:val="none" w:sz="0" w:space="0" w:color="auto"/>
          </w:divBdr>
        </w:div>
        <w:div w:id="105270813">
          <w:marLeft w:val="0"/>
          <w:marRight w:val="0"/>
          <w:marTop w:val="0"/>
          <w:marBottom w:val="0"/>
          <w:divBdr>
            <w:top w:val="none" w:sz="0" w:space="0" w:color="auto"/>
            <w:left w:val="none" w:sz="0" w:space="0" w:color="auto"/>
            <w:bottom w:val="none" w:sz="0" w:space="0" w:color="auto"/>
            <w:right w:val="none" w:sz="0" w:space="0" w:color="auto"/>
          </w:divBdr>
        </w:div>
        <w:div w:id="180554553">
          <w:marLeft w:val="0"/>
          <w:marRight w:val="0"/>
          <w:marTop w:val="0"/>
          <w:marBottom w:val="0"/>
          <w:divBdr>
            <w:top w:val="none" w:sz="0" w:space="0" w:color="auto"/>
            <w:left w:val="none" w:sz="0" w:space="0" w:color="auto"/>
            <w:bottom w:val="none" w:sz="0" w:space="0" w:color="auto"/>
            <w:right w:val="none" w:sz="0" w:space="0" w:color="auto"/>
          </w:divBdr>
          <w:divsChild>
            <w:div w:id="944506233">
              <w:marLeft w:val="-75"/>
              <w:marRight w:val="0"/>
              <w:marTop w:val="30"/>
              <w:marBottom w:val="30"/>
              <w:divBdr>
                <w:top w:val="none" w:sz="0" w:space="0" w:color="auto"/>
                <w:left w:val="none" w:sz="0" w:space="0" w:color="auto"/>
                <w:bottom w:val="none" w:sz="0" w:space="0" w:color="auto"/>
                <w:right w:val="none" w:sz="0" w:space="0" w:color="auto"/>
              </w:divBdr>
              <w:divsChild>
                <w:div w:id="353574">
                  <w:marLeft w:val="0"/>
                  <w:marRight w:val="0"/>
                  <w:marTop w:val="0"/>
                  <w:marBottom w:val="0"/>
                  <w:divBdr>
                    <w:top w:val="none" w:sz="0" w:space="0" w:color="auto"/>
                    <w:left w:val="none" w:sz="0" w:space="0" w:color="auto"/>
                    <w:bottom w:val="none" w:sz="0" w:space="0" w:color="auto"/>
                    <w:right w:val="none" w:sz="0" w:space="0" w:color="auto"/>
                  </w:divBdr>
                  <w:divsChild>
                    <w:div w:id="477958892">
                      <w:marLeft w:val="0"/>
                      <w:marRight w:val="0"/>
                      <w:marTop w:val="0"/>
                      <w:marBottom w:val="0"/>
                      <w:divBdr>
                        <w:top w:val="none" w:sz="0" w:space="0" w:color="auto"/>
                        <w:left w:val="none" w:sz="0" w:space="0" w:color="auto"/>
                        <w:bottom w:val="none" w:sz="0" w:space="0" w:color="auto"/>
                        <w:right w:val="none" w:sz="0" w:space="0" w:color="auto"/>
                      </w:divBdr>
                    </w:div>
                    <w:div w:id="1699232259">
                      <w:marLeft w:val="0"/>
                      <w:marRight w:val="0"/>
                      <w:marTop w:val="0"/>
                      <w:marBottom w:val="0"/>
                      <w:divBdr>
                        <w:top w:val="none" w:sz="0" w:space="0" w:color="auto"/>
                        <w:left w:val="none" w:sz="0" w:space="0" w:color="auto"/>
                        <w:bottom w:val="none" w:sz="0" w:space="0" w:color="auto"/>
                        <w:right w:val="none" w:sz="0" w:space="0" w:color="auto"/>
                      </w:divBdr>
                    </w:div>
                  </w:divsChild>
                </w:div>
                <w:div w:id="46220135">
                  <w:marLeft w:val="0"/>
                  <w:marRight w:val="0"/>
                  <w:marTop w:val="0"/>
                  <w:marBottom w:val="0"/>
                  <w:divBdr>
                    <w:top w:val="none" w:sz="0" w:space="0" w:color="auto"/>
                    <w:left w:val="none" w:sz="0" w:space="0" w:color="auto"/>
                    <w:bottom w:val="none" w:sz="0" w:space="0" w:color="auto"/>
                    <w:right w:val="none" w:sz="0" w:space="0" w:color="auto"/>
                  </w:divBdr>
                  <w:divsChild>
                    <w:div w:id="63795278">
                      <w:marLeft w:val="0"/>
                      <w:marRight w:val="0"/>
                      <w:marTop w:val="0"/>
                      <w:marBottom w:val="0"/>
                      <w:divBdr>
                        <w:top w:val="none" w:sz="0" w:space="0" w:color="auto"/>
                        <w:left w:val="none" w:sz="0" w:space="0" w:color="auto"/>
                        <w:bottom w:val="none" w:sz="0" w:space="0" w:color="auto"/>
                        <w:right w:val="none" w:sz="0" w:space="0" w:color="auto"/>
                      </w:divBdr>
                    </w:div>
                  </w:divsChild>
                </w:div>
                <w:div w:id="395788444">
                  <w:marLeft w:val="0"/>
                  <w:marRight w:val="0"/>
                  <w:marTop w:val="0"/>
                  <w:marBottom w:val="0"/>
                  <w:divBdr>
                    <w:top w:val="none" w:sz="0" w:space="0" w:color="auto"/>
                    <w:left w:val="none" w:sz="0" w:space="0" w:color="auto"/>
                    <w:bottom w:val="none" w:sz="0" w:space="0" w:color="auto"/>
                    <w:right w:val="none" w:sz="0" w:space="0" w:color="auto"/>
                  </w:divBdr>
                  <w:divsChild>
                    <w:div w:id="115370913">
                      <w:marLeft w:val="0"/>
                      <w:marRight w:val="0"/>
                      <w:marTop w:val="0"/>
                      <w:marBottom w:val="0"/>
                      <w:divBdr>
                        <w:top w:val="none" w:sz="0" w:space="0" w:color="auto"/>
                        <w:left w:val="none" w:sz="0" w:space="0" w:color="auto"/>
                        <w:bottom w:val="none" w:sz="0" w:space="0" w:color="auto"/>
                        <w:right w:val="none" w:sz="0" w:space="0" w:color="auto"/>
                      </w:divBdr>
                    </w:div>
                  </w:divsChild>
                </w:div>
                <w:div w:id="498083928">
                  <w:marLeft w:val="0"/>
                  <w:marRight w:val="0"/>
                  <w:marTop w:val="0"/>
                  <w:marBottom w:val="0"/>
                  <w:divBdr>
                    <w:top w:val="none" w:sz="0" w:space="0" w:color="auto"/>
                    <w:left w:val="none" w:sz="0" w:space="0" w:color="auto"/>
                    <w:bottom w:val="none" w:sz="0" w:space="0" w:color="auto"/>
                    <w:right w:val="none" w:sz="0" w:space="0" w:color="auto"/>
                  </w:divBdr>
                  <w:divsChild>
                    <w:div w:id="1997799792">
                      <w:marLeft w:val="0"/>
                      <w:marRight w:val="0"/>
                      <w:marTop w:val="0"/>
                      <w:marBottom w:val="0"/>
                      <w:divBdr>
                        <w:top w:val="none" w:sz="0" w:space="0" w:color="auto"/>
                        <w:left w:val="none" w:sz="0" w:space="0" w:color="auto"/>
                        <w:bottom w:val="none" w:sz="0" w:space="0" w:color="auto"/>
                        <w:right w:val="none" w:sz="0" w:space="0" w:color="auto"/>
                      </w:divBdr>
                    </w:div>
                  </w:divsChild>
                </w:div>
                <w:div w:id="607658496">
                  <w:marLeft w:val="0"/>
                  <w:marRight w:val="0"/>
                  <w:marTop w:val="0"/>
                  <w:marBottom w:val="0"/>
                  <w:divBdr>
                    <w:top w:val="none" w:sz="0" w:space="0" w:color="auto"/>
                    <w:left w:val="none" w:sz="0" w:space="0" w:color="auto"/>
                    <w:bottom w:val="none" w:sz="0" w:space="0" w:color="auto"/>
                    <w:right w:val="none" w:sz="0" w:space="0" w:color="auto"/>
                  </w:divBdr>
                  <w:divsChild>
                    <w:div w:id="1738165621">
                      <w:marLeft w:val="0"/>
                      <w:marRight w:val="0"/>
                      <w:marTop w:val="0"/>
                      <w:marBottom w:val="0"/>
                      <w:divBdr>
                        <w:top w:val="none" w:sz="0" w:space="0" w:color="auto"/>
                        <w:left w:val="none" w:sz="0" w:space="0" w:color="auto"/>
                        <w:bottom w:val="none" w:sz="0" w:space="0" w:color="auto"/>
                        <w:right w:val="none" w:sz="0" w:space="0" w:color="auto"/>
                      </w:divBdr>
                    </w:div>
                  </w:divsChild>
                </w:div>
                <w:div w:id="707218254">
                  <w:marLeft w:val="0"/>
                  <w:marRight w:val="0"/>
                  <w:marTop w:val="0"/>
                  <w:marBottom w:val="0"/>
                  <w:divBdr>
                    <w:top w:val="none" w:sz="0" w:space="0" w:color="auto"/>
                    <w:left w:val="none" w:sz="0" w:space="0" w:color="auto"/>
                    <w:bottom w:val="none" w:sz="0" w:space="0" w:color="auto"/>
                    <w:right w:val="none" w:sz="0" w:space="0" w:color="auto"/>
                  </w:divBdr>
                  <w:divsChild>
                    <w:div w:id="677122247">
                      <w:marLeft w:val="0"/>
                      <w:marRight w:val="0"/>
                      <w:marTop w:val="0"/>
                      <w:marBottom w:val="0"/>
                      <w:divBdr>
                        <w:top w:val="none" w:sz="0" w:space="0" w:color="auto"/>
                        <w:left w:val="none" w:sz="0" w:space="0" w:color="auto"/>
                        <w:bottom w:val="none" w:sz="0" w:space="0" w:color="auto"/>
                        <w:right w:val="none" w:sz="0" w:space="0" w:color="auto"/>
                      </w:divBdr>
                    </w:div>
                  </w:divsChild>
                </w:div>
                <w:div w:id="708916520">
                  <w:marLeft w:val="0"/>
                  <w:marRight w:val="0"/>
                  <w:marTop w:val="0"/>
                  <w:marBottom w:val="0"/>
                  <w:divBdr>
                    <w:top w:val="none" w:sz="0" w:space="0" w:color="auto"/>
                    <w:left w:val="none" w:sz="0" w:space="0" w:color="auto"/>
                    <w:bottom w:val="none" w:sz="0" w:space="0" w:color="auto"/>
                    <w:right w:val="none" w:sz="0" w:space="0" w:color="auto"/>
                  </w:divBdr>
                  <w:divsChild>
                    <w:div w:id="1335647923">
                      <w:marLeft w:val="0"/>
                      <w:marRight w:val="0"/>
                      <w:marTop w:val="0"/>
                      <w:marBottom w:val="0"/>
                      <w:divBdr>
                        <w:top w:val="none" w:sz="0" w:space="0" w:color="auto"/>
                        <w:left w:val="none" w:sz="0" w:space="0" w:color="auto"/>
                        <w:bottom w:val="none" w:sz="0" w:space="0" w:color="auto"/>
                        <w:right w:val="none" w:sz="0" w:space="0" w:color="auto"/>
                      </w:divBdr>
                    </w:div>
                  </w:divsChild>
                </w:div>
                <w:div w:id="945767397">
                  <w:marLeft w:val="0"/>
                  <w:marRight w:val="0"/>
                  <w:marTop w:val="0"/>
                  <w:marBottom w:val="0"/>
                  <w:divBdr>
                    <w:top w:val="none" w:sz="0" w:space="0" w:color="auto"/>
                    <w:left w:val="none" w:sz="0" w:space="0" w:color="auto"/>
                    <w:bottom w:val="none" w:sz="0" w:space="0" w:color="auto"/>
                    <w:right w:val="none" w:sz="0" w:space="0" w:color="auto"/>
                  </w:divBdr>
                  <w:divsChild>
                    <w:div w:id="963728878">
                      <w:marLeft w:val="0"/>
                      <w:marRight w:val="0"/>
                      <w:marTop w:val="0"/>
                      <w:marBottom w:val="0"/>
                      <w:divBdr>
                        <w:top w:val="none" w:sz="0" w:space="0" w:color="auto"/>
                        <w:left w:val="none" w:sz="0" w:space="0" w:color="auto"/>
                        <w:bottom w:val="none" w:sz="0" w:space="0" w:color="auto"/>
                        <w:right w:val="none" w:sz="0" w:space="0" w:color="auto"/>
                      </w:divBdr>
                    </w:div>
                  </w:divsChild>
                </w:div>
                <w:div w:id="1154293034">
                  <w:marLeft w:val="0"/>
                  <w:marRight w:val="0"/>
                  <w:marTop w:val="0"/>
                  <w:marBottom w:val="0"/>
                  <w:divBdr>
                    <w:top w:val="none" w:sz="0" w:space="0" w:color="auto"/>
                    <w:left w:val="none" w:sz="0" w:space="0" w:color="auto"/>
                    <w:bottom w:val="none" w:sz="0" w:space="0" w:color="auto"/>
                    <w:right w:val="none" w:sz="0" w:space="0" w:color="auto"/>
                  </w:divBdr>
                  <w:divsChild>
                    <w:div w:id="854228202">
                      <w:marLeft w:val="0"/>
                      <w:marRight w:val="0"/>
                      <w:marTop w:val="0"/>
                      <w:marBottom w:val="0"/>
                      <w:divBdr>
                        <w:top w:val="none" w:sz="0" w:space="0" w:color="auto"/>
                        <w:left w:val="none" w:sz="0" w:space="0" w:color="auto"/>
                        <w:bottom w:val="none" w:sz="0" w:space="0" w:color="auto"/>
                        <w:right w:val="none" w:sz="0" w:space="0" w:color="auto"/>
                      </w:divBdr>
                    </w:div>
                  </w:divsChild>
                </w:div>
                <w:div w:id="1330016121">
                  <w:marLeft w:val="0"/>
                  <w:marRight w:val="0"/>
                  <w:marTop w:val="0"/>
                  <w:marBottom w:val="0"/>
                  <w:divBdr>
                    <w:top w:val="none" w:sz="0" w:space="0" w:color="auto"/>
                    <w:left w:val="none" w:sz="0" w:space="0" w:color="auto"/>
                    <w:bottom w:val="none" w:sz="0" w:space="0" w:color="auto"/>
                    <w:right w:val="none" w:sz="0" w:space="0" w:color="auto"/>
                  </w:divBdr>
                  <w:divsChild>
                    <w:div w:id="753164473">
                      <w:marLeft w:val="0"/>
                      <w:marRight w:val="0"/>
                      <w:marTop w:val="0"/>
                      <w:marBottom w:val="0"/>
                      <w:divBdr>
                        <w:top w:val="none" w:sz="0" w:space="0" w:color="auto"/>
                        <w:left w:val="none" w:sz="0" w:space="0" w:color="auto"/>
                        <w:bottom w:val="none" w:sz="0" w:space="0" w:color="auto"/>
                        <w:right w:val="none" w:sz="0" w:space="0" w:color="auto"/>
                      </w:divBdr>
                    </w:div>
                  </w:divsChild>
                </w:div>
                <w:div w:id="1586918496">
                  <w:marLeft w:val="0"/>
                  <w:marRight w:val="0"/>
                  <w:marTop w:val="0"/>
                  <w:marBottom w:val="0"/>
                  <w:divBdr>
                    <w:top w:val="none" w:sz="0" w:space="0" w:color="auto"/>
                    <w:left w:val="none" w:sz="0" w:space="0" w:color="auto"/>
                    <w:bottom w:val="none" w:sz="0" w:space="0" w:color="auto"/>
                    <w:right w:val="none" w:sz="0" w:space="0" w:color="auto"/>
                  </w:divBdr>
                  <w:divsChild>
                    <w:div w:id="1828092605">
                      <w:marLeft w:val="0"/>
                      <w:marRight w:val="0"/>
                      <w:marTop w:val="0"/>
                      <w:marBottom w:val="0"/>
                      <w:divBdr>
                        <w:top w:val="none" w:sz="0" w:space="0" w:color="auto"/>
                        <w:left w:val="none" w:sz="0" w:space="0" w:color="auto"/>
                        <w:bottom w:val="none" w:sz="0" w:space="0" w:color="auto"/>
                        <w:right w:val="none" w:sz="0" w:space="0" w:color="auto"/>
                      </w:divBdr>
                    </w:div>
                  </w:divsChild>
                </w:div>
                <w:div w:id="1639651383">
                  <w:marLeft w:val="0"/>
                  <w:marRight w:val="0"/>
                  <w:marTop w:val="0"/>
                  <w:marBottom w:val="0"/>
                  <w:divBdr>
                    <w:top w:val="none" w:sz="0" w:space="0" w:color="auto"/>
                    <w:left w:val="none" w:sz="0" w:space="0" w:color="auto"/>
                    <w:bottom w:val="none" w:sz="0" w:space="0" w:color="auto"/>
                    <w:right w:val="none" w:sz="0" w:space="0" w:color="auto"/>
                  </w:divBdr>
                  <w:divsChild>
                    <w:div w:id="1725979493">
                      <w:marLeft w:val="0"/>
                      <w:marRight w:val="0"/>
                      <w:marTop w:val="0"/>
                      <w:marBottom w:val="0"/>
                      <w:divBdr>
                        <w:top w:val="none" w:sz="0" w:space="0" w:color="auto"/>
                        <w:left w:val="none" w:sz="0" w:space="0" w:color="auto"/>
                        <w:bottom w:val="none" w:sz="0" w:space="0" w:color="auto"/>
                        <w:right w:val="none" w:sz="0" w:space="0" w:color="auto"/>
                      </w:divBdr>
                    </w:div>
                  </w:divsChild>
                </w:div>
                <w:div w:id="1858422202">
                  <w:marLeft w:val="0"/>
                  <w:marRight w:val="0"/>
                  <w:marTop w:val="0"/>
                  <w:marBottom w:val="0"/>
                  <w:divBdr>
                    <w:top w:val="none" w:sz="0" w:space="0" w:color="auto"/>
                    <w:left w:val="none" w:sz="0" w:space="0" w:color="auto"/>
                    <w:bottom w:val="none" w:sz="0" w:space="0" w:color="auto"/>
                    <w:right w:val="none" w:sz="0" w:space="0" w:color="auto"/>
                  </w:divBdr>
                  <w:divsChild>
                    <w:div w:id="614600881">
                      <w:marLeft w:val="0"/>
                      <w:marRight w:val="0"/>
                      <w:marTop w:val="0"/>
                      <w:marBottom w:val="0"/>
                      <w:divBdr>
                        <w:top w:val="none" w:sz="0" w:space="0" w:color="auto"/>
                        <w:left w:val="none" w:sz="0" w:space="0" w:color="auto"/>
                        <w:bottom w:val="none" w:sz="0" w:space="0" w:color="auto"/>
                        <w:right w:val="none" w:sz="0" w:space="0" w:color="auto"/>
                      </w:divBdr>
                    </w:div>
                  </w:divsChild>
                </w:div>
                <w:div w:id="1929994875">
                  <w:marLeft w:val="0"/>
                  <w:marRight w:val="0"/>
                  <w:marTop w:val="0"/>
                  <w:marBottom w:val="0"/>
                  <w:divBdr>
                    <w:top w:val="none" w:sz="0" w:space="0" w:color="auto"/>
                    <w:left w:val="none" w:sz="0" w:space="0" w:color="auto"/>
                    <w:bottom w:val="none" w:sz="0" w:space="0" w:color="auto"/>
                    <w:right w:val="none" w:sz="0" w:space="0" w:color="auto"/>
                  </w:divBdr>
                  <w:divsChild>
                    <w:div w:id="755321647">
                      <w:marLeft w:val="0"/>
                      <w:marRight w:val="0"/>
                      <w:marTop w:val="0"/>
                      <w:marBottom w:val="0"/>
                      <w:divBdr>
                        <w:top w:val="none" w:sz="0" w:space="0" w:color="auto"/>
                        <w:left w:val="none" w:sz="0" w:space="0" w:color="auto"/>
                        <w:bottom w:val="none" w:sz="0" w:space="0" w:color="auto"/>
                        <w:right w:val="none" w:sz="0" w:space="0" w:color="auto"/>
                      </w:divBdr>
                    </w:div>
                  </w:divsChild>
                </w:div>
                <w:div w:id="1963731977">
                  <w:marLeft w:val="0"/>
                  <w:marRight w:val="0"/>
                  <w:marTop w:val="0"/>
                  <w:marBottom w:val="0"/>
                  <w:divBdr>
                    <w:top w:val="none" w:sz="0" w:space="0" w:color="auto"/>
                    <w:left w:val="none" w:sz="0" w:space="0" w:color="auto"/>
                    <w:bottom w:val="none" w:sz="0" w:space="0" w:color="auto"/>
                    <w:right w:val="none" w:sz="0" w:space="0" w:color="auto"/>
                  </w:divBdr>
                  <w:divsChild>
                    <w:div w:id="534082664">
                      <w:marLeft w:val="0"/>
                      <w:marRight w:val="0"/>
                      <w:marTop w:val="0"/>
                      <w:marBottom w:val="0"/>
                      <w:divBdr>
                        <w:top w:val="none" w:sz="0" w:space="0" w:color="auto"/>
                        <w:left w:val="none" w:sz="0" w:space="0" w:color="auto"/>
                        <w:bottom w:val="none" w:sz="0" w:space="0" w:color="auto"/>
                        <w:right w:val="none" w:sz="0" w:space="0" w:color="auto"/>
                      </w:divBdr>
                    </w:div>
                  </w:divsChild>
                </w:div>
                <w:div w:id="2068065532">
                  <w:marLeft w:val="0"/>
                  <w:marRight w:val="0"/>
                  <w:marTop w:val="0"/>
                  <w:marBottom w:val="0"/>
                  <w:divBdr>
                    <w:top w:val="none" w:sz="0" w:space="0" w:color="auto"/>
                    <w:left w:val="none" w:sz="0" w:space="0" w:color="auto"/>
                    <w:bottom w:val="none" w:sz="0" w:space="0" w:color="auto"/>
                    <w:right w:val="none" w:sz="0" w:space="0" w:color="auto"/>
                  </w:divBdr>
                  <w:divsChild>
                    <w:div w:id="1911227666">
                      <w:marLeft w:val="0"/>
                      <w:marRight w:val="0"/>
                      <w:marTop w:val="0"/>
                      <w:marBottom w:val="0"/>
                      <w:divBdr>
                        <w:top w:val="none" w:sz="0" w:space="0" w:color="auto"/>
                        <w:left w:val="none" w:sz="0" w:space="0" w:color="auto"/>
                        <w:bottom w:val="none" w:sz="0" w:space="0" w:color="auto"/>
                        <w:right w:val="none" w:sz="0" w:space="0" w:color="auto"/>
                      </w:divBdr>
                    </w:div>
                  </w:divsChild>
                </w:div>
                <w:div w:id="2073456445">
                  <w:marLeft w:val="0"/>
                  <w:marRight w:val="0"/>
                  <w:marTop w:val="0"/>
                  <w:marBottom w:val="0"/>
                  <w:divBdr>
                    <w:top w:val="none" w:sz="0" w:space="0" w:color="auto"/>
                    <w:left w:val="none" w:sz="0" w:space="0" w:color="auto"/>
                    <w:bottom w:val="none" w:sz="0" w:space="0" w:color="auto"/>
                    <w:right w:val="none" w:sz="0" w:space="0" w:color="auto"/>
                  </w:divBdr>
                  <w:divsChild>
                    <w:div w:id="10543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10267">
          <w:marLeft w:val="0"/>
          <w:marRight w:val="0"/>
          <w:marTop w:val="0"/>
          <w:marBottom w:val="0"/>
          <w:divBdr>
            <w:top w:val="none" w:sz="0" w:space="0" w:color="auto"/>
            <w:left w:val="none" w:sz="0" w:space="0" w:color="auto"/>
            <w:bottom w:val="none" w:sz="0" w:space="0" w:color="auto"/>
            <w:right w:val="none" w:sz="0" w:space="0" w:color="auto"/>
          </w:divBdr>
        </w:div>
        <w:div w:id="337662486">
          <w:marLeft w:val="0"/>
          <w:marRight w:val="0"/>
          <w:marTop w:val="0"/>
          <w:marBottom w:val="0"/>
          <w:divBdr>
            <w:top w:val="none" w:sz="0" w:space="0" w:color="auto"/>
            <w:left w:val="none" w:sz="0" w:space="0" w:color="auto"/>
            <w:bottom w:val="none" w:sz="0" w:space="0" w:color="auto"/>
            <w:right w:val="none" w:sz="0" w:space="0" w:color="auto"/>
          </w:divBdr>
        </w:div>
        <w:div w:id="348877245">
          <w:marLeft w:val="0"/>
          <w:marRight w:val="0"/>
          <w:marTop w:val="0"/>
          <w:marBottom w:val="0"/>
          <w:divBdr>
            <w:top w:val="none" w:sz="0" w:space="0" w:color="auto"/>
            <w:left w:val="none" w:sz="0" w:space="0" w:color="auto"/>
            <w:bottom w:val="none" w:sz="0" w:space="0" w:color="auto"/>
            <w:right w:val="none" w:sz="0" w:space="0" w:color="auto"/>
          </w:divBdr>
        </w:div>
        <w:div w:id="360982163">
          <w:marLeft w:val="0"/>
          <w:marRight w:val="0"/>
          <w:marTop w:val="0"/>
          <w:marBottom w:val="0"/>
          <w:divBdr>
            <w:top w:val="none" w:sz="0" w:space="0" w:color="auto"/>
            <w:left w:val="none" w:sz="0" w:space="0" w:color="auto"/>
            <w:bottom w:val="none" w:sz="0" w:space="0" w:color="auto"/>
            <w:right w:val="none" w:sz="0" w:space="0" w:color="auto"/>
          </w:divBdr>
        </w:div>
        <w:div w:id="422846537">
          <w:marLeft w:val="0"/>
          <w:marRight w:val="0"/>
          <w:marTop w:val="0"/>
          <w:marBottom w:val="0"/>
          <w:divBdr>
            <w:top w:val="none" w:sz="0" w:space="0" w:color="auto"/>
            <w:left w:val="none" w:sz="0" w:space="0" w:color="auto"/>
            <w:bottom w:val="none" w:sz="0" w:space="0" w:color="auto"/>
            <w:right w:val="none" w:sz="0" w:space="0" w:color="auto"/>
          </w:divBdr>
        </w:div>
        <w:div w:id="439834196">
          <w:marLeft w:val="0"/>
          <w:marRight w:val="0"/>
          <w:marTop w:val="0"/>
          <w:marBottom w:val="0"/>
          <w:divBdr>
            <w:top w:val="none" w:sz="0" w:space="0" w:color="auto"/>
            <w:left w:val="none" w:sz="0" w:space="0" w:color="auto"/>
            <w:bottom w:val="none" w:sz="0" w:space="0" w:color="auto"/>
            <w:right w:val="none" w:sz="0" w:space="0" w:color="auto"/>
          </w:divBdr>
        </w:div>
        <w:div w:id="864293178">
          <w:marLeft w:val="0"/>
          <w:marRight w:val="0"/>
          <w:marTop w:val="0"/>
          <w:marBottom w:val="0"/>
          <w:divBdr>
            <w:top w:val="none" w:sz="0" w:space="0" w:color="auto"/>
            <w:left w:val="none" w:sz="0" w:space="0" w:color="auto"/>
            <w:bottom w:val="none" w:sz="0" w:space="0" w:color="auto"/>
            <w:right w:val="none" w:sz="0" w:space="0" w:color="auto"/>
          </w:divBdr>
        </w:div>
        <w:div w:id="870458571">
          <w:marLeft w:val="0"/>
          <w:marRight w:val="0"/>
          <w:marTop w:val="0"/>
          <w:marBottom w:val="0"/>
          <w:divBdr>
            <w:top w:val="none" w:sz="0" w:space="0" w:color="auto"/>
            <w:left w:val="none" w:sz="0" w:space="0" w:color="auto"/>
            <w:bottom w:val="none" w:sz="0" w:space="0" w:color="auto"/>
            <w:right w:val="none" w:sz="0" w:space="0" w:color="auto"/>
          </w:divBdr>
        </w:div>
        <w:div w:id="872885119">
          <w:marLeft w:val="0"/>
          <w:marRight w:val="0"/>
          <w:marTop w:val="0"/>
          <w:marBottom w:val="0"/>
          <w:divBdr>
            <w:top w:val="none" w:sz="0" w:space="0" w:color="auto"/>
            <w:left w:val="none" w:sz="0" w:space="0" w:color="auto"/>
            <w:bottom w:val="none" w:sz="0" w:space="0" w:color="auto"/>
            <w:right w:val="none" w:sz="0" w:space="0" w:color="auto"/>
          </w:divBdr>
        </w:div>
        <w:div w:id="963658629">
          <w:marLeft w:val="0"/>
          <w:marRight w:val="0"/>
          <w:marTop w:val="0"/>
          <w:marBottom w:val="0"/>
          <w:divBdr>
            <w:top w:val="none" w:sz="0" w:space="0" w:color="auto"/>
            <w:left w:val="none" w:sz="0" w:space="0" w:color="auto"/>
            <w:bottom w:val="none" w:sz="0" w:space="0" w:color="auto"/>
            <w:right w:val="none" w:sz="0" w:space="0" w:color="auto"/>
          </w:divBdr>
        </w:div>
        <w:div w:id="992415968">
          <w:marLeft w:val="0"/>
          <w:marRight w:val="0"/>
          <w:marTop w:val="0"/>
          <w:marBottom w:val="0"/>
          <w:divBdr>
            <w:top w:val="none" w:sz="0" w:space="0" w:color="auto"/>
            <w:left w:val="none" w:sz="0" w:space="0" w:color="auto"/>
            <w:bottom w:val="none" w:sz="0" w:space="0" w:color="auto"/>
            <w:right w:val="none" w:sz="0" w:space="0" w:color="auto"/>
          </w:divBdr>
        </w:div>
        <w:div w:id="1114054023">
          <w:marLeft w:val="0"/>
          <w:marRight w:val="0"/>
          <w:marTop w:val="0"/>
          <w:marBottom w:val="0"/>
          <w:divBdr>
            <w:top w:val="none" w:sz="0" w:space="0" w:color="auto"/>
            <w:left w:val="none" w:sz="0" w:space="0" w:color="auto"/>
            <w:bottom w:val="none" w:sz="0" w:space="0" w:color="auto"/>
            <w:right w:val="none" w:sz="0" w:space="0" w:color="auto"/>
          </w:divBdr>
        </w:div>
        <w:div w:id="1165320010">
          <w:marLeft w:val="0"/>
          <w:marRight w:val="0"/>
          <w:marTop w:val="0"/>
          <w:marBottom w:val="0"/>
          <w:divBdr>
            <w:top w:val="none" w:sz="0" w:space="0" w:color="auto"/>
            <w:left w:val="none" w:sz="0" w:space="0" w:color="auto"/>
            <w:bottom w:val="none" w:sz="0" w:space="0" w:color="auto"/>
            <w:right w:val="none" w:sz="0" w:space="0" w:color="auto"/>
          </w:divBdr>
        </w:div>
        <w:div w:id="1193954855">
          <w:marLeft w:val="0"/>
          <w:marRight w:val="0"/>
          <w:marTop w:val="0"/>
          <w:marBottom w:val="0"/>
          <w:divBdr>
            <w:top w:val="none" w:sz="0" w:space="0" w:color="auto"/>
            <w:left w:val="none" w:sz="0" w:space="0" w:color="auto"/>
            <w:bottom w:val="none" w:sz="0" w:space="0" w:color="auto"/>
            <w:right w:val="none" w:sz="0" w:space="0" w:color="auto"/>
          </w:divBdr>
        </w:div>
        <w:div w:id="1241790733">
          <w:marLeft w:val="0"/>
          <w:marRight w:val="0"/>
          <w:marTop w:val="0"/>
          <w:marBottom w:val="0"/>
          <w:divBdr>
            <w:top w:val="none" w:sz="0" w:space="0" w:color="auto"/>
            <w:left w:val="none" w:sz="0" w:space="0" w:color="auto"/>
            <w:bottom w:val="none" w:sz="0" w:space="0" w:color="auto"/>
            <w:right w:val="none" w:sz="0" w:space="0" w:color="auto"/>
          </w:divBdr>
        </w:div>
        <w:div w:id="1270237515">
          <w:marLeft w:val="0"/>
          <w:marRight w:val="0"/>
          <w:marTop w:val="0"/>
          <w:marBottom w:val="0"/>
          <w:divBdr>
            <w:top w:val="none" w:sz="0" w:space="0" w:color="auto"/>
            <w:left w:val="none" w:sz="0" w:space="0" w:color="auto"/>
            <w:bottom w:val="none" w:sz="0" w:space="0" w:color="auto"/>
            <w:right w:val="none" w:sz="0" w:space="0" w:color="auto"/>
          </w:divBdr>
        </w:div>
        <w:div w:id="1345667008">
          <w:marLeft w:val="0"/>
          <w:marRight w:val="0"/>
          <w:marTop w:val="0"/>
          <w:marBottom w:val="0"/>
          <w:divBdr>
            <w:top w:val="none" w:sz="0" w:space="0" w:color="auto"/>
            <w:left w:val="none" w:sz="0" w:space="0" w:color="auto"/>
            <w:bottom w:val="none" w:sz="0" w:space="0" w:color="auto"/>
            <w:right w:val="none" w:sz="0" w:space="0" w:color="auto"/>
          </w:divBdr>
        </w:div>
        <w:div w:id="1362626921">
          <w:marLeft w:val="0"/>
          <w:marRight w:val="0"/>
          <w:marTop w:val="0"/>
          <w:marBottom w:val="0"/>
          <w:divBdr>
            <w:top w:val="none" w:sz="0" w:space="0" w:color="auto"/>
            <w:left w:val="none" w:sz="0" w:space="0" w:color="auto"/>
            <w:bottom w:val="none" w:sz="0" w:space="0" w:color="auto"/>
            <w:right w:val="none" w:sz="0" w:space="0" w:color="auto"/>
          </w:divBdr>
        </w:div>
        <w:div w:id="1402681981">
          <w:marLeft w:val="0"/>
          <w:marRight w:val="0"/>
          <w:marTop w:val="0"/>
          <w:marBottom w:val="0"/>
          <w:divBdr>
            <w:top w:val="none" w:sz="0" w:space="0" w:color="auto"/>
            <w:left w:val="none" w:sz="0" w:space="0" w:color="auto"/>
            <w:bottom w:val="none" w:sz="0" w:space="0" w:color="auto"/>
            <w:right w:val="none" w:sz="0" w:space="0" w:color="auto"/>
          </w:divBdr>
        </w:div>
        <w:div w:id="1418867792">
          <w:marLeft w:val="0"/>
          <w:marRight w:val="0"/>
          <w:marTop w:val="0"/>
          <w:marBottom w:val="0"/>
          <w:divBdr>
            <w:top w:val="none" w:sz="0" w:space="0" w:color="auto"/>
            <w:left w:val="none" w:sz="0" w:space="0" w:color="auto"/>
            <w:bottom w:val="none" w:sz="0" w:space="0" w:color="auto"/>
            <w:right w:val="none" w:sz="0" w:space="0" w:color="auto"/>
          </w:divBdr>
        </w:div>
        <w:div w:id="1452746237">
          <w:marLeft w:val="0"/>
          <w:marRight w:val="0"/>
          <w:marTop w:val="0"/>
          <w:marBottom w:val="0"/>
          <w:divBdr>
            <w:top w:val="none" w:sz="0" w:space="0" w:color="auto"/>
            <w:left w:val="none" w:sz="0" w:space="0" w:color="auto"/>
            <w:bottom w:val="none" w:sz="0" w:space="0" w:color="auto"/>
            <w:right w:val="none" w:sz="0" w:space="0" w:color="auto"/>
          </w:divBdr>
          <w:divsChild>
            <w:div w:id="1431391289">
              <w:marLeft w:val="-75"/>
              <w:marRight w:val="0"/>
              <w:marTop w:val="30"/>
              <w:marBottom w:val="30"/>
              <w:divBdr>
                <w:top w:val="none" w:sz="0" w:space="0" w:color="auto"/>
                <w:left w:val="none" w:sz="0" w:space="0" w:color="auto"/>
                <w:bottom w:val="none" w:sz="0" w:space="0" w:color="auto"/>
                <w:right w:val="none" w:sz="0" w:space="0" w:color="auto"/>
              </w:divBdr>
              <w:divsChild>
                <w:div w:id="179858526">
                  <w:marLeft w:val="0"/>
                  <w:marRight w:val="0"/>
                  <w:marTop w:val="0"/>
                  <w:marBottom w:val="0"/>
                  <w:divBdr>
                    <w:top w:val="none" w:sz="0" w:space="0" w:color="auto"/>
                    <w:left w:val="none" w:sz="0" w:space="0" w:color="auto"/>
                    <w:bottom w:val="none" w:sz="0" w:space="0" w:color="auto"/>
                    <w:right w:val="none" w:sz="0" w:space="0" w:color="auto"/>
                  </w:divBdr>
                  <w:divsChild>
                    <w:div w:id="1418406568">
                      <w:marLeft w:val="0"/>
                      <w:marRight w:val="0"/>
                      <w:marTop w:val="0"/>
                      <w:marBottom w:val="0"/>
                      <w:divBdr>
                        <w:top w:val="none" w:sz="0" w:space="0" w:color="auto"/>
                        <w:left w:val="none" w:sz="0" w:space="0" w:color="auto"/>
                        <w:bottom w:val="none" w:sz="0" w:space="0" w:color="auto"/>
                        <w:right w:val="none" w:sz="0" w:space="0" w:color="auto"/>
                      </w:divBdr>
                    </w:div>
                  </w:divsChild>
                </w:div>
                <w:div w:id="609437967">
                  <w:marLeft w:val="0"/>
                  <w:marRight w:val="0"/>
                  <w:marTop w:val="0"/>
                  <w:marBottom w:val="0"/>
                  <w:divBdr>
                    <w:top w:val="none" w:sz="0" w:space="0" w:color="auto"/>
                    <w:left w:val="none" w:sz="0" w:space="0" w:color="auto"/>
                    <w:bottom w:val="none" w:sz="0" w:space="0" w:color="auto"/>
                    <w:right w:val="none" w:sz="0" w:space="0" w:color="auto"/>
                  </w:divBdr>
                  <w:divsChild>
                    <w:div w:id="1322664025">
                      <w:marLeft w:val="0"/>
                      <w:marRight w:val="0"/>
                      <w:marTop w:val="0"/>
                      <w:marBottom w:val="0"/>
                      <w:divBdr>
                        <w:top w:val="none" w:sz="0" w:space="0" w:color="auto"/>
                        <w:left w:val="none" w:sz="0" w:space="0" w:color="auto"/>
                        <w:bottom w:val="none" w:sz="0" w:space="0" w:color="auto"/>
                        <w:right w:val="none" w:sz="0" w:space="0" w:color="auto"/>
                      </w:divBdr>
                    </w:div>
                  </w:divsChild>
                </w:div>
                <w:div w:id="634339947">
                  <w:marLeft w:val="0"/>
                  <w:marRight w:val="0"/>
                  <w:marTop w:val="0"/>
                  <w:marBottom w:val="0"/>
                  <w:divBdr>
                    <w:top w:val="none" w:sz="0" w:space="0" w:color="auto"/>
                    <w:left w:val="none" w:sz="0" w:space="0" w:color="auto"/>
                    <w:bottom w:val="none" w:sz="0" w:space="0" w:color="auto"/>
                    <w:right w:val="none" w:sz="0" w:space="0" w:color="auto"/>
                  </w:divBdr>
                  <w:divsChild>
                    <w:div w:id="267198570">
                      <w:marLeft w:val="0"/>
                      <w:marRight w:val="0"/>
                      <w:marTop w:val="0"/>
                      <w:marBottom w:val="0"/>
                      <w:divBdr>
                        <w:top w:val="none" w:sz="0" w:space="0" w:color="auto"/>
                        <w:left w:val="none" w:sz="0" w:space="0" w:color="auto"/>
                        <w:bottom w:val="none" w:sz="0" w:space="0" w:color="auto"/>
                        <w:right w:val="none" w:sz="0" w:space="0" w:color="auto"/>
                      </w:divBdr>
                    </w:div>
                  </w:divsChild>
                </w:div>
                <w:div w:id="686104300">
                  <w:marLeft w:val="0"/>
                  <w:marRight w:val="0"/>
                  <w:marTop w:val="0"/>
                  <w:marBottom w:val="0"/>
                  <w:divBdr>
                    <w:top w:val="none" w:sz="0" w:space="0" w:color="auto"/>
                    <w:left w:val="none" w:sz="0" w:space="0" w:color="auto"/>
                    <w:bottom w:val="none" w:sz="0" w:space="0" w:color="auto"/>
                    <w:right w:val="none" w:sz="0" w:space="0" w:color="auto"/>
                  </w:divBdr>
                  <w:divsChild>
                    <w:div w:id="1908959410">
                      <w:marLeft w:val="0"/>
                      <w:marRight w:val="0"/>
                      <w:marTop w:val="0"/>
                      <w:marBottom w:val="0"/>
                      <w:divBdr>
                        <w:top w:val="none" w:sz="0" w:space="0" w:color="auto"/>
                        <w:left w:val="none" w:sz="0" w:space="0" w:color="auto"/>
                        <w:bottom w:val="none" w:sz="0" w:space="0" w:color="auto"/>
                        <w:right w:val="none" w:sz="0" w:space="0" w:color="auto"/>
                      </w:divBdr>
                    </w:div>
                  </w:divsChild>
                </w:div>
                <w:div w:id="975333484">
                  <w:marLeft w:val="0"/>
                  <w:marRight w:val="0"/>
                  <w:marTop w:val="0"/>
                  <w:marBottom w:val="0"/>
                  <w:divBdr>
                    <w:top w:val="none" w:sz="0" w:space="0" w:color="auto"/>
                    <w:left w:val="none" w:sz="0" w:space="0" w:color="auto"/>
                    <w:bottom w:val="none" w:sz="0" w:space="0" w:color="auto"/>
                    <w:right w:val="none" w:sz="0" w:space="0" w:color="auto"/>
                  </w:divBdr>
                  <w:divsChild>
                    <w:div w:id="1590656764">
                      <w:marLeft w:val="0"/>
                      <w:marRight w:val="0"/>
                      <w:marTop w:val="0"/>
                      <w:marBottom w:val="0"/>
                      <w:divBdr>
                        <w:top w:val="none" w:sz="0" w:space="0" w:color="auto"/>
                        <w:left w:val="none" w:sz="0" w:space="0" w:color="auto"/>
                        <w:bottom w:val="none" w:sz="0" w:space="0" w:color="auto"/>
                        <w:right w:val="none" w:sz="0" w:space="0" w:color="auto"/>
                      </w:divBdr>
                    </w:div>
                  </w:divsChild>
                </w:div>
                <w:div w:id="1254968894">
                  <w:marLeft w:val="0"/>
                  <w:marRight w:val="0"/>
                  <w:marTop w:val="0"/>
                  <w:marBottom w:val="0"/>
                  <w:divBdr>
                    <w:top w:val="none" w:sz="0" w:space="0" w:color="auto"/>
                    <w:left w:val="none" w:sz="0" w:space="0" w:color="auto"/>
                    <w:bottom w:val="none" w:sz="0" w:space="0" w:color="auto"/>
                    <w:right w:val="none" w:sz="0" w:space="0" w:color="auto"/>
                  </w:divBdr>
                  <w:divsChild>
                    <w:div w:id="243759271">
                      <w:marLeft w:val="0"/>
                      <w:marRight w:val="0"/>
                      <w:marTop w:val="0"/>
                      <w:marBottom w:val="0"/>
                      <w:divBdr>
                        <w:top w:val="none" w:sz="0" w:space="0" w:color="auto"/>
                        <w:left w:val="none" w:sz="0" w:space="0" w:color="auto"/>
                        <w:bottom w:val="none" w:sz="0" w:space="0" w:color="auto"/>
                        <w:right w:val="none" w:sz="0" w:space="0" w:color="auto"/>
                      </w:divBdr>
                    </w:div>
                  </w:divsChild>
                </w:div>
                <w:div w:id="1277635888">
                  <w:marLeft w:val="0"/>
                  <w:marRight w:val="0"/>
                  <w:marTop w:val="0"/>
                  <w:marBottom w:val="0"/>
                  <w:divBdr>
                    <w:top w:val="none" w:sz="0" w:space="0" w:color="auto"/>
                    <w:left w:val="none" w:sz="0" w:space="0" w:color="auto"/>
                    <w:bottom w:val="none" w:sz="0" w:space="0" w:color="auto"/>
                    <w:right w:val="none" w:sz="0" w:space="0" w:color="auto"/>
                  </w:divBdr>
                  <w:divsChild>
                    <w:div w:id="1221332681">
                      <w:marLeft w:val="0"/>
                      <w:marRight w:val="0"/>
                      <w:marTop w:val="0"/>
                      <w:marBottom w:val="0"/>
                      <w:divBdr>
                        <w:top w:val="none" w:sz="0" w:space="0" w:color="auto"/>
                        <w:left w:val="none" w:sz="0" w:space="0" w:color="auto"/>
                        <w:bottom w:val="none" w:sz="0" w:space="0" w:color="auto"/>
                        <w:right w:val="none" w:sz="0" w:space="0" w:color="auto"/>
                      </w:divBdr>
                    </w:div>
                  </w:divsChild>
                </w:div>
                <w:div w:id="1423793107">
                  <w:marLeft w:val="0"/>
                  <w:marRight w:val="0"/>
                  <w:marTop w:val="0"/>
                  <w:marBottom w:val="0"/>
                  <w:divBdr>
                    <w:top w:val="none" w:sz="0" w:space="0" w:color="auto"/>
                    <w:left w:val="none" w:sz="0" w:space="0" w:color="auto"/>
                    <w:bottom w:val="none" w:sz="0" w:space="0" w:color="auto"/>
                    <w:right w:val="none" w:sz="0" w:space="0" w:color="auto"/>
                  </w:divBdr>
                  <w:divsChild>
                    <w:div w:id="548343351">
                      <w:marLeft w:val="0"/>
                      <w:marRight w:val="0"/>
                      <w:marTop w:val="0"/>
                      <w:marBottom w:val="0"/>
                      <w:divBdr>
                        <w:top w:val="none" w:sz="0" w:space="0" w:color="auto"/>
                        <w:left w:val="none" w:sz="0" w:space="0" w:color="auto"/>
                        <w:bottom w:val="none" w:sz="0" w:space="0" w:color="auto"/>
                        <w:right w:val="none" w:sz="0" w:space="0" w:color="auto"/>
                      </w:divBdr>
                    </w:div>
                  </w:divsChild>
                </w:div>
                <w:div w:id="1747065515">
                  <w:marLeft w:val="0"/>
                  <w:marRight w:val="0"/>
                  <w:marTop w:val="0"/>
                  <w:marBottom w:val="0"/>
                  <w:divBdr>
                    <w:top w:val="none" w:sz="0" w:space="0" w:color="auto"/>
                    <w:left w:val="none" w:sz="0" w:space="0" w:color="auto"/>
                    <w:bottom w:val="none" w:sz="0" w:space="0" w:color="auto"/>
                    <w:right w:val="none" w:sz="0" w:space="0" w:color="auto"/>
                  </w:divBdr>
                  <w:divsChild>
                    <w:div w:id="821577729">
                      <w:marLeft w:val="0"/>
                      <w:marRight w:val="0"/>
                      <w:marTop w:val="0"/>
                      <w:marBottom w:val="0"/>
                      <w:divBdr>
                        <w:top w:val="none" w:sz="0" w:space="0" w:color="auto"/>
                        <w:left w:val="none" w:sz="0" w:space="0" w:color="auto"/>
                        <w:bottom w:val="none" w:sz="0" w:space="0" w:color="auto"/>
                        <w:right w:val="none" w:sz="0" w:space="0" w:color="auto"/>
                      </w:divBdr>
                    </w:div>
                  </w:divsChild>
                </w:div>
                <w:div w:id="1899127340">
                  <w:marLeft w:val="0"/>
                  <w:marRight w:val="0"/>
                  <w:marTop w:val="0"/>
                  <w:marBottom w:val="0"/>
                  <w:divBdr>
                    <w:top w:val="none" w:sz="0" w:space="0" w:color="auto"/>
                    <w:left w:val="none" w:sz="0" w:space="0" w:color="auto"/>
                    <w:bottom w:val="none" w:sz="0" w:space="0" w:color="auto"/>
                    <w:right w:val="none" w:sz="0" w:space="0" w:color="auto"/>
                  </w:divBdr>
                  <w:divsChild>
                    <w:div w:id="4752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4942">
          <w:marLeft w:val="0"/>
          <w:marRight w:val="0"/>
          <w:marTop w:val="0"/>
          <w:marBottom w:val="0"/>
          <w:divBdr>
            <w:top w:val="none" w:sz="0" w:space="0" w:color="auto"/>
            <w:left w:val="none" w:sz="0" w:space="0" w:color="auto"/>
            <w:bottom w:val="none" w:sz="0" w:space="0" w:color="auto"/>
            <w:right w:val="none" w:sz="0" w:space="0" w:color="auto"/>
          </w:divBdr>
        </w:div>
        <w:div w:id="1693536249">
          <w:marLeft w:val="0"/>
          <w:marRight w:val="0"/>
          <w:marTop w:val="0"/>
          <w:marBottom w:val="0"/>
          <w:divBdr>
            <w:top w:val="none" w:sz="0" w:space="0" w:color="auto"/>
            <w:left w:val="none" w:sz="0" w:space="0" w:color="auto"/>
            <w:bottom w:val="none" w:sz="0" w:space="0" w:color="auto"/>
            <w:right w:val="none" w:sz="0" w:space="0" w:color="auto"/>
          </w:divBdr>
        </w:div>
        <w:div w:id="1737239651">
          <w:marLeft w:val="0"/>
          <w:marRight w:val="0"/>
          <w:marTop w:val="0"/>
          <w:marBottom w:val="0"/>
          <w:divBdr>
            <w:top w:val="none" w:sz="0" w:space="0" w:color="auto"/>
            <w:left w:val="none" w:sz="0" w:space="0" w:color="auto"/>
            <w:bottom w:val="none" w:sz="0" w:space="0" w:color="auto"/>
            <w:right w:val="none" w:sz="0" w:space="0" w:color="auto"/>
          </w:divBdr>
        </w:div>
        <w:div w:id="1772703456">
          <w:marLeft w:val="0"/>
          <w:marRight w:val="0"/>
          <w:marTop w:val="0"/>
          <w:marBottom w:val="0"/>
          <w:divBdr>
            <w:top w:val="none" w:sz="0" w:space="0" w:color="auto"/>
            <w:left w:val="none" w:sz="0" w:space="0" w:color="auto"/>
            <w:bottom w:val="none" w:sz="0" w:space="0" w:color="auto"/>
            <w:right w:val="none" w:sz="0" w:space="0" w:color="auto"/>
          </w:divBdr>
          <w:divsChild>
            <w:div w:id="485249663">
              <w:marLeft w:val="-75"/>
              <w:marRight w:val="0"/>
              <w:marTop w:val="30"/>
              <w:marBottom w:val="30"/>
              <w:divBdr>
                <w:top w:val="none" w:sz="0" w:space="0" w:color="auto"/>
                <w:left w:val="none" w:sz="0" w:space="0" w:color="auto"/>
                <w:bottom w:val="none" w:sz="0" w:space="0" w:color="auto"/>
                <w:right w:val="none" w:sz="0" w:space="0" w:color="auto"/>
              </w:divBdr>
              <w:divsChild>
                <w:div w:id="142041631">
                  <w:marLeft w:val="0"/>
                  <w:marRight w:val="0"/>
                  <w:marTop w:val="0"/>
                  <w:marBottom w:val="0"/>
                  <w:divBdr>
                    <w:top w:val="none" w:sz="0" w:space="0" w:color="auto"/>
                    <w:left w:val="none" w:sz="0" w:space="0" w:color="auto"/>
                    <w:bottom w:val="none" w:sz="0" w:space="0" w:color="auto"/>
                    <w:right w:val="none" w:sz="0" w:space="0" w:color="auto"/>
                  </w:divBdr>
                  <w:divsChild>
                    <w:div w:id="2097283596">
                      <w:marLeft w:val="0"/>
                      <w:marRight w:val="0"/>
                      <w:marTop w:val="0"/>
                      <w:marBottom w:val="0"/>
                      <w:divBdr>
                        <w:top w:val="none" w:sz="0" w:space="0" w:color="auto"/>
                        <w:left w:val="none" w:sz="0" w:space="0" w:color="auto"/>
                        <w:bottom w:val="none" w:sz="0" w:space="0" w:color="auto"/>
                        <w:right w:val="none" w:sz="0" w:space="0" w:color="auto"/>
                      </w:divBdr>
                    </w:div>
                  </w:divsChild>
                </w:div>
                <w:div w:id="326440146">
                  <w:marLeft w:val="0"/>
                  <w:marRight w:val="0"/>
                  <w:marTop w:val="0"/>
                  <w:marBottom w:val="0"/>
                  <w:divBdr>
                    <w:top w:val="none" w:sz="0" w:space="0" w:color="auto"/>
                    <w:left w:val="none" w:sz="0" w:space="0" w:color="auto"/>
                    <w:bottom w:val="none" w:sz="0" w:space="0" w:color="auto"/>
                    <w:right w:val="none" w:sz="0" w:space="0" w:color="auto"/>
                  </w:divBdr>
                  <w:divsChild>
                    <w:div w:id="1711028572">
                      <w:marLeft w:val="0"/>
                      <w:marRight w:val="0"/>
                      <w:marTop w:val="0"/>
                      <w:marBottom w:val="0"/>
                      <w:divBdr>
                        <w:top w:val="none" w:sz="0" w:space="0" w:color="auto"/>
                        <w:left w:val="none" w:sz="0" w:space="0" w:color="auto"/>
                        <w:bottom w:val="none" w:sz="0" w:space="0" w:color="auto"/>
                        <w:right w:val="none" w:sz="0" w:space="0" w:color="auto"/>
                      </w:divBdr>
                    </w:div>
                  </w:divsChild>
                </w:div>
                <w:div w:id="349335015">
                  <w:marLeft w:val="0"/>
                  <w:marRight w:val="0"/>
                  <w:marTop w:val="0"/>
                  <w:marBottom w:val="0"/>
                  <w:divBdr>
                    <w:top w:val="none" w:sz="0" w:space="0" w:color="auto"/>
                    <w:left w:val="none" w:sz="0" w:space="0" w:color="auto"/>
                    <w:bottom w:val="none" w:sz="0" w:space="0" w:color="auto"/>
                    <w:right w:val="none" w:sz="0" w:space="0" w:color="auto"/>
                  </w:divBdr>
                  <w:divsChild>
                    <w:div w:id="1088037480">
                      <w:marLeft w:val="0"/>
                      <w:marRight w:val="0"/>
                      <w:marTop w:val="0"/>
                      <w:marBottom w:val="0"/>
                      <w:divBdr>
                        <w:top w:val="none" w:sz="0" w:space="0" w:color="auto"/>
                        <w:left w:val="none" w:sz="0" w:space="0" w:color="auto"/>
                        <w:bottom w:val="none" w:sz="0" w:space="0" w:color="auto"/>
                        <w:right w:val="none" w:sz="0" w:space="0" w:color="auto"/>
                      </w:divBdr>
                    </w:div>
                  </w:divsChild>
                </w:div>
                <w:div w:id="452486065">
                  <w:marLeft w:val="0"/>
                  <w:marRight w:val="0"/>
                  <w:marTop w:val="0"/>
                  <w:marBottom w:val="0"/>
                  <w:divBdr>
                    <w:top w:val="none" w:sz="0" w:space="0" w:color="auto"/>
                    <w:left w:val="none" w:sz="0" w:space="0" w:color="auto"/>
                    <w:bottom w:val="none" w:sz="0" w:space="0" w:color="auto"/>
                    <w:right w:val="none" w:sz="0" w:space="0" w:color="auto"/>
                  </w:divBdr>
                  <w:divsChild>
                    <w:div w:id="711535506">
                      <w:marLeft w:val="0"/>
                      <w:marRight w:val="0"/>
                      <w:marTop w:val="0"/>
                      <w:marBottom w:val="0"/>
                      <w:divBdr>
                        <w:top w:val="none" w:sz="0" w:space="0" w:color="auto"/>
                        <w:left w:val="none" w:sz="0" w:space="0" w:color="auto"/>
                        <w:bottom w:val="none" w:sz="0" w:space="0" w:color="auto"/>
                        <w:right w:val="none" w:sz="0" w:space="0" w:color="auto"/>
                      </w:divBdr>
                    </w:div>
                  </w:divsChild>
                </w:div>
                <w:div w:id="564419016">
                  <w:marLeft w:val="0"/>
                  <w:marRight w:val="0"/>
                  <w:marTop w:val="0"/>
                  <w:marBottom w:val="0"/>
                  <w:divBdr>
                    <w:top w:val="none" w:sz="0" w:space="0" w:color="auto"/>
                    <w:left w:val="none" w:sz="0" w:space="0" w:color="auto"/>
                    <w:bottom w:val="none" w:sz="0" w:space="0" w:color="auto"/>
                    <w:right w:val="none" w:sz="0" w:space="0" w:color="auto"/>
                  </w:divBdr>
                  <w:divsChild>
                    <w:div w:id="1342271290">
                      <w:marLeft w:val="0"/>
                      <w:marRight w:val="0"/>
                      <w:marTop w:val="0"/>
                      <w:marBottom w:val="0"/>
                      <w:divBdr>
                        <w:top w:val="none" w:sz="0" w:space="0" w:color="auto"/>
                        <w:left w:val="none" w:sz="0" w:space="0" w:color="auto"/>
                        <w:bottom w:val="none" w:sz="0" w:space="0" w:color="auto"/>
                        <w:right w:val="none" w:sz="0" w:space="0" w:color="auto"/>
                      </w:divBdr>
                    </w:div>
                  </w:divsChild>
                </w:div>
                <w:div w:id="640119407">
                  <w:marLeft w:val="0"/>
                  <w:marRight w:val="0"/>
                  <w:marTop w:val="0"/>
                  <w:marBottom w:val="0"/>
                  <w:divBdr>
                    <w:top w:val="none" w:sz="0" w:space="0" w:color="auto"/>
                    <w:left w:val="none" w:sz="0" w:space="0" w:color="auto"/>
                    <w:bottom w:val="none" w:sz="0" w:space="0" w:color="auto"/>
                    <w:right w:val="none" w:sz="0" w:space="0" w:color="auto"/>
                  </w:divBdr>
                  <w:divsChild>
                    <w:div w:id="952513580">
                      <w:marLeft w:val="0"/>
                      <w:marRight w:val="0"/>
                      <w:marTop w:val="0"/>
                      <w:marBottom w:val="0"/>
                      <w:divBdr>
                        <w:top w:val="none" w:sz="0" w:space="0" w:color="auto"/>
                        <w:left w:val="none" w:sz="0" w:space="0" w:color="auto"/>
                        <w:bottom w:val="none" w:sz="0" w:space="0" w:color="auto"/>
                        <w:right w:val="none" w:sz="0" w:space="0" w:color="auto"/>
                      </w:divBdr>
                    </w:div>
                  </w:divsChild>
                </w:div>
                <w:div w:id="776608581">
                  <w:marLeft w:val="0"/>
                  <w:marRight w:val="0"/>
                  <w:marTop w:val="0"/>
                  <w:marBottom w:val="0"/>
                  <w:divBdr>
                    <w:top w:val="none" w:sz="0" w:space="0" w:color="auto"/>
                    <w:left w:val="none" w:sz="0" w:space="0" w:color="auto"/>
                    <w:bottom w:val="none" w:sz="0" w:space="0" w:color="auto"/>
                    <w:right w:val="none" w:sz="0" w:space="0" w:color="auto"/>
                  </w:divBdr>
                  <w:divsChild>
                    <w:div w:id="1527866877">
                      <w:marLeft w:val="0"/>
                      <w:marRight w:val="0"/>
                      <w:marTop w:val="0"/>
                      <w:marBottom w:val="0"/>
                      <w:divBdr>
                        <w:top w:val="none" w:sz="0" w:space="0" w:color="auto"/>
                        <w:left w:val="none" w:sz="0" w:space="0" w:color="auto"/>
                        <w:bottom w:val="none" w:sz="0" w:space="0" w:color="auto"/>
                        <w:right w:val="none" w:sz="0" w:space="0" w:color="auto"/>
                      </w:divBdr>
                    </w:div>
                  </w:divsChild>
                </w:div>
                <w:div w:id="917133335">
                  <w:marLeft w:val="0"/>
                  <w:marRight w:val="0"/>
                  <w:marTop w:val="0"/>
                  <w:marBottom w:val="0"/>
                  <w:divBdr>
                    <w:top w:val="none" w:sz="0" w:space="0" w:color="auto"/>
                    <w:left w:val="none" w:sz="0" w:space="0" w:color="auto"/>
                    <w:bottom w:val="none" w:sz="0" w:space="0" w:color="auto"/>
                    <w:right w:val="none" w:sz="0" w:space="0" w:color="auto"/>
                  </w:divBdr>
                  <w:divsChild>
                    <w:div w:id="2010863960">
                      <w:marLeft w:val="0"/>
                      <w:marRight w:val="0"/>
                      <w:marTop w:val="0"/>
                      <w:marBottom w:val="0"/>
                      <w:divBdr>
                        <w:top w:val="none" w:sz="0" w:space="0" w:color="auto"/>
                        <w:left w:val="none" w:sz="0" w:space="0" w:color="auto"/>
                        <w:bottom w:val="none" w:sz="0" w:space="0" w:color="auto"/>
                        <w:right w:val="none" w:sz="0" w:space="0" w:color="auto"/>
                      </w:divBdr>
                    </w:div>
                  </w:divsChild>
                </w:div>
                <w:div w:id="1115444690">
                  <w:marLeft w:val="0"/>
                  <w:marRight w:val="0"/>
                  <w:marTop w:val="0"/>
                  <w:marBottom w:val="0"/>
                  <w:divBdr>
                    <w:top w:val="none" w:sz="0" w:space="0" w:color="auto"/>
                    <w:left w:val="none" w:sz="0" w:space="0" w:color="auto"/>
                    <w:bottom w:val="none" w:sz="0" w:space="0" w:color="auto"/>
                    <w:right w:val="none" w:sz="0" w:space="0" w:color="auto"/>
                  </w:divBdr>
                  <w:divsChild>
                    <w:div w:id="438111571">
                      <w:marLeft w:val="0"/>
                      <w:marRight w:val="0"/>
                      <w:marTop w:val="0"/>
                      <w:marBottom w:val="0"/>
                      <w:divBdr>
                        <w:top w:val="none" w:sz="0" w:space="0" w:color="auto"/>
                        <w:left w:val="none" w:sz="0" w:space="0" w:color="auto"/>
                        <w:bottom w:val="none" w:sz="0" w:space="0" w:color="auto"/>
                        <w:right w:val="none" w:sz="0" w:space="0" w:color="auto"/>
                      </w:divBdr>
                    </w:div>
                  </w:divsChild>
                </w:div>
                <w:div w:id="1288900450">
                  <w:marLeft w:val="0"/>
                  <w:marRight w:val="0"/>
                  <w:marTop w:val="0"/>
                  <w:marBottom w:val="0"/>
                  <w:divBdr>
                    <w:top w:val="none" w:sz="0" w:space="0" w:color="auto"/>
                    <w:left w:val="none" w:sz="0" w:space="0" w:color="auto"/>
                    <w:bottom w:val="none" w:sz="0" w:space="0" w:color="auto"/>
                    <w:right w:val="none" w:sz="0" w:space="0" w:color="auto"/>
                  </w:divBdr>
                  <w:divsChild>
                    <w:div w:id="1682585692">
                      <w:marLeft w:val="0"/>
                      <w:marRight w:val="0"/>
                      <w:marTop w:val="0"/>
                      <w:marBottom w:val="0"/>
                      <w:divBdr>
                        <w:top w:val="none" w:sz="0" w:space="0" w:color="auto"/>
                        <w:left w:val="none" w:sz="0" w:space="0" w:color="auto"/>
                        <w:bottom w:val="none" w:sz="0" w:space="0" w:color="auto"/>
                        <w:right w:val="none" w:sz="0" w:space="0" w:color="auto"/>
                      </w:divBdr>
                    </w:div>
                  </w:divsChild>
                </w:div>
                <w:div w:id="1291352970">
                  <w:marLeft w:val="0"/>
                  <w:marRight w:val="0"/>
                  <w:marTop w:val="0"/>
                  <w:marBottom w:val="0"/>
                  <w:divBdr>
                    <w:top w:val="none" w:sz="0" w:space="0" w:color="auto"/>
                    <w:left w:val="none" w:sz="0" w:space="0" w:color="auto"/>
                    <w:bottom w:val="none" w:sz="0" w:space="0" w:color="auto"/>
                    <w:right w:val="none" w:sz="0" w:space="0" w:color="auto"/>
                  </w:divBdr>
                  <w:divsChild>
                    <w:div w:id="1757314676">
                      <w:marLeft w:val="0"/>
                      <w:marRight w:val="0"/>
                      <w:marTop w:val="0"/>
                      <w:marBottom w:val="0"/>
                      <w:divBdr>
                        <w:top w:val="none" w:sz="0" w:space="0" w:color="auto"/>
                        <w:left w:val="none" w:sz="0" w:space="0" w:color="auto"/>
                        <w:bottom w:val="none" w:sz="0" w:space="0" w:color="auto"/>
                        <w:right w:val="none" w:sz="0" w:space="0" w:color="auto"/>
                      </w:divBdr>
                    </w:div>
                  </w:divsChild>
                </w:div>
                <w:div w:id="1441146973">
                  <w:marLeft w:val="0"/>
                  <w:marRight w:val="0"/>
                  <w:marTop w:val="0"/>
                  <w:marBottom w:val="0"/>
                  <w:divBdr>
                    <w:top w:val="none" w:sz="0" w:space="0" w:color="auto"/>
                    <w:left w:val="none" w:sz="0" w:space="0" w:color="auto"/>
                    <w:bottom w:val="none" w:sz="0" w:space="0" w:color="auto"/>
                    <w:right w:val="none" w:sz="0" w:space="0" w:color="auto"/>
                  </w:divBdr>
                  <w:divsChild>
                    <w:div w:id="321355640">
                      <w:marLeft w:val="0"/>
                      <w:marRight w:val="0"/>
                      <w:marTop w:val="0"/>
                      <w:marBottom w:val="0"/>
                      <w:divBdr>
                        <w:top w:val="none" w:sz="0" w:space="0" w:color="auto"/>
                        <w:left w:val="none" w:sz="0" w:space="0" w:color="auto"/>
                        <w:bottom w:val="none" w:sz="0" w:space="0" w:color="auto"/>
                        <w:right w:val="none" w:sz="0" w:space="0" w:color="auto"/>
                      </w:divBdr>
                    </w:div>
                  </w:divsChild>
                </w:div>
                <w:div w:id="1654483190">
                  <w:marLeft w:val="0"/>
                  <w:marRight w:val="0"/>
                  <w:marTop w:val="0"/>
                  <w:marBottom w:val="0"/>
                  <w:divBdr>
                    <w:top w:val="none" w:sz="0" w:space="0" w:color="auto"/>
                    <w:left w:val="none" w:sz="0" w:space="0" w:color="auto"/>
                    <w:bottom w:val="none" w:sz="0" w:space="0" w:color="auto"/>
                    <w:right w:val="none" w:sz="0" w:space="0" w:color="auto"/>
                  </w:divBdr>
                  <w:divsChild>
                    <w:div w:id="470827699">
                      <w:marLeft w:val="0"/>
                      <w:marRight w:val="0"/>
                      <w:marTop w:val="0"/>
                      <w:marBottom w:val="0"/>
                      <w:divBdr>
                        <w:top w:val="none" w:sz="0" w:space="0" w:color="auto"/>
                        <w:left w:val="none" w:sz="0" w:space="0" w:color="auto"/>
                        <w:bottom w:val="none" w:sz="0" w:space="0" w:color="auto"/>
                        <w:right w:val="none" w:sz="0" w:space="0" w:color="auto"/>
                      </w:divBdr>
                    </w:div>
                  </w:divsChild>
                </w:div>
                <w:div w:id="1753624747">
                  <w:marLeft w:val="0"/>
                  <w:marRight w:val="0"/>
                  <w:marTop w:val="0"/>
                  <w:marBottom w:val="0"/>
                  <w:divBdr>
                    <w:top w:val="none" w:sz="0" w:space="0" w:color="auto"/>
                    <w:left w:val="none" w:sz="0" w:space="0" w:color="auto"/>
                    <w:bottom w:val="none" w:sz="0" w:space="0" w:color="auto"/>
                    <w:right w:val="none" w:sz="0" w:space="0" w:color="auto"/>
                  </w:divBdr>
                  <w:divsChild>
                    <w:div w:id="1173300499">
                      <w:marLeft w:val="0"/>
                      <w:marRight w:val="0"/>
                      <w:marTop w:val="0"/>
                      <w:marBottom w:val="0"/>
                      <w:divBdr>
                        <w:top w:val="none" w:sz="0" w:space="0" w:color="auto"/>
                        <w:left w:val="none" w:sz="0" w:space="0" w:color="auto"/>
                        <w:bottom w:val="none" w:sz="0" w:space="0" w:color="auto"/>
                        <w:right w:val="none" w:sz="0" w:space="0" w:color="auto"/>
                      </w:divBdr>
                    </w:div>
                  </w:divsChild>
                </w:div>
                <w:div w:id="1758482057">
                  <w:marLeft w:val="0"/>
                  <w:marRight w:val="0"/>
                  <w:marTop w:val="0"/>
                  <w:marBottom w:val="0"/>
                  <w:divBdr>
                    <w:top w:val="none" w:sz="0" w:space="0" w:color="auto"/>
                    <w:left w:val="none" w:sz="0" w:space="0" w:color="auto"/>
                    <w:bottom w:val="none" w:sz="0" w:space="0" w:color="auto"/>
                    <w:right w:val="none" w:sz="0" w:space="0" w:color="auto"/>
                  </w:divBdr>
                  <w:divsChild>
                    <w:div w:id="472211175">
                      <w:marLeft w:val="0"/>
                      <w:marRight w:val="0"/>
                      <w:marTop w:val="0"/>
                      <w:marBottom w:val="0"/>
                      <w:divBdr>
                        <w:top w:val="none" w:sz="0" w:space="0" w:color="auto"/>
                        <w:left w:val="none" w:sz="0" w:space="0" w:color="auto"/>
                        <w:bottom w:val="none" w:sz="0" w:space="0" w:color="auto"/>
                        <w:right w:val="none" w:sz="0" w:space="0" w:color="auto"/>
                      </w:divBdr>
                    </w:div>
                    <w:div w:id="1926183309">
                      <w:marLeft w:val="0"/>
                      <w:marRight w:val="0"/>
                      <w:marTop w:val="0"/>
                      <w:marBottom w:val="0"/>
                      <w:divBdr>
                        <w:top w:val="none" w:sz="0" w:space="0" w:color="auto"/>
                        <w:left w:val="none" w:sz="0" w:space="0" w:color="auto"/>
                        <w:bottom w:val="none" w:sz="0" w:space="0" w:color="auto"/>
                        <w:right w:val="none" w:sz="0" w:space="0" w:color="auto"/>
                      </w:divBdr>
                    </w:div>
                  </w:divsChild>
                </w:div>
                <w:div w:id="1802728999">
                  <w:marLeft w:val="0"/>
                  <w:marRight w:val="0"/>
                  <w:marTop w:val="0"/>
                  <w:marBottom w:val="0"/>
                  <w:divBdr>
                    <w:top w:val="none" w:sz="0" w:space="0" w:color="auto"/>
                    <w:left w:val="none" w:sz="0" w:space="0" w:color="auto"/>
                    <w:bottom w:val="none" w:sz="0" w:space="0" w:color="auto"/>
                    <w:right w:val="none" w:sz="0" w:space="0" w:color="auto"/>
                  </w:divBdr>
                  <w:divsChild>
                    <w:div w:id="190917651">
                      <w:marLeft w:val="0"/>
                      <w:marRight w:val="0"/>
                      <w:marTop w:val="0"/>
                      <w:marBottom w:val="0"/>
                      <w:divBdr>
                        <w:top w:val="none" w:sz="0" w:space="0" w:color="auto"/>
                        <w:left w:val="none" w:sz="0" w:space="0" w:color="auto"/>
                        <w:bottom w:val="none" w:sz="0" w:space="0" w:color="auto"/>
                        <w:right w:val="none" w:sz="0" w:space="0" w:color="auto"/>
                      </w:divBdr>
                    </w:div>
                  </w:divsChild>
                </w:div>
                <w:div w:id="1833594167">
                  <w:marLeft w:val="0"/>
                  <w:marRight w:val="0"/>
                  <w:marTop w:val="0"/>
                  <w:marBottom w:val="0"/>
                  <w:divBdr>
                    <w:top w:val="none" w:sz="0" w:space="0" w:color="auto"/>
                    <w:left w:val="none" w:sz="0" w:space="0" w:color="auto"/>
                    <w:bottom w:val="none" w:sz="0" w:space="0" w:color="auto"/>
                    <w:right w:val="none" w:sz="0" w:space="0" w:color="auto"/>
                  </w:divBdr>
                  <w:divsChild>
                    <w:div w:id="2055109510">
                      <w:marLeft w:val="0"/>
                      <w:marRight w:val="0"/>
                      <w:marTop w:val="0"/>
                      <w:marBottom w:val="0"/>
                      <w:divBdr>
                        <w:top w:val="none" w:sz="0" w:space="0" w:color="auto"/>
                        <w:left w:val="none" w:sz="0" w:space="0" w:color="auto"/>
                        <w:bottom w:val="none" w:sz="0" w:space="0" w:color="auto"/>
                        <w:right w:val="none" w:sz="0" w:space="0" w:color="auto"/>
                      </w:divBdr>
                    </w:div>
                  </w:divsChild>
                </w:div>
                <w:div w:id="2041201956">
                  <w:marLeft w:val="0"/>
                  <w:marRight w:val="0"/>
                  <w:marTop w:val="0"/>
                  <w:marBottom w:val="0"/>
                  <w:divBdr>
                    <w:top w:val="none" w:sz="0" w:space="0" w:color="auto"/>
                    <w:left w:val="none" w:sz="0" w:space="0" w:color="auto"/>
                    <w:bottom w:val="none" w:sz="0" w:space="0" w:color="auto"/>
                    <w:right w:val="none" w:sz="0" w:space="0" w:color="auto"/>
                  </w:divBdr>
                  <w:divsChild>
                    <w:div w:id="960111258">
                      <w:marLeft w:val="0"/>
                      <w:marRight w:val="0"/>
                      <w:marTop w:val="0"/>
                      <w:marBottom w:val="0"/>
                      <w:divBdr>
                        <w:top w:val="none" w:sz="0" w:space="0" w:color="auto"/>
                        <w:left w:val="none" w:sz="0" w:space="0" w:color="auto"/>
                        <w:bottom w:val="none" w:sz="0" w:space="0" w:color="auto"/>
                        <w:right w:val="none" w:sz="0" w:space="0" w:color="auto"/>
                      </w:divBdr>
                    </w:div>
                  </w:divsChild>
                </w:div>
                <w:div w:id="2045715744">
                  <w:marLeft w:val="0"/>
                  <w:marRight w:val="0"/>
                  <w:marTop w:val="0"/>
                  <w:marBottom w:val="0"/>
                  <w:divBdr>
                    <w:top w:val="none" w:sz="0" w:space="0" w:color="auto"/>
                    <w:left w:val="none" w:sz="0" w:space="0" w:color="auto"/>
                    <w:bottom w:val="none" w:sz="0" w:space="0" w:color="auto"/>
                    <w:right w:val="none" w:sz="0" w:space="0" w:color="auto"/>
                  </w:divBdr>
                  <w:divsChild>
                    <w:div w:id="1966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5930">
          <w:marLeft w:val="0"/>
          <w:marRight w:val="0"/>
          <w:marTop w:val="0"/>
          <w:marBottom w:val="0"/>
          <w:divBdr>
            <w:top w:val="none" w:sz="0" w:space="0" w:color="auto"/>
            <w:left w:val="none" w:sz="0" w:space="0" w:color="auto"/>
            <w:bottom w:val="none" w:sz="0" w:space="0" w:color="auto"/>
            <w:right w:val="none" w:sz="0" w:space="0" w:color="auto"/>
          </w:divBdr>
        </w:div>
        <w:div w:id="1963874398">
          <w:marLeft w:val="0"/>
          <w:marRight w:val="0"/>
          <w:marTop w:val="0"/>
          <w:marBottom w:val="0"/>
          <w:divBdr>
            <w:top w:val="none" w:sz="0" w:space="0" w:color="auto"/>
            <w:left w:val="none" w:sz="0" w:space="0" w:color="auto"/>
            <w:bottom w:val="none" w:sz="0" w:space="0" w:color="auto"/>
            <w:right w:val="none" w:sz="0" w:space="0" w:color="auto"/>
          </w:divBdr>
        </w:div>
        <w:div w:id="1974407567">
          <w:marLeft w:val="0"/>
          <w:marRight w:val="0"/>
          <w:marTop w:val="0"/>
          <w:marBottom w:val="0"/>
          <w:divBdr>
            <w:top w:val="none" w:sz="0" w:space="0" w:color="auto"/>
            <w:left w:val="none" w:sz="0" w:space="0" w:color="auto"/>
            <w:bottom w:val="none" w:sz="0" w:space="0" w:color="auto"/>
            <w:right w:val="none" w:sz="0" w:space="0" w:color="auto"/>
          </w:divBdr>
        </w:div>
        <w:div w:id="2023436545">
          <w:marLeft w:val="0"/>
          <w:marRight w:val="0"/>
          <w:marTop w:val="0"/>
          <w:marBottom w:val="0"/>
          <w:divBdr>
            <w:top w:val="none" w:sz="0" w:space="0" w:color="auto"/>
            <w:left w:val="none" w:sz="0" w:space="0" w:color="auto"/>
            <w:bottom w:val="none" w:sz="0" w:space="0" w:color="auto"/>
            <w:right w:val="none" w:sz="0" w:space="0" w:color="auto"/>
          </w:divBdr>
        </w:div>
        <w:div w:id="2028553508">
          <w:marLeft w:val="0"/>
          <w:marRight w:val="0"/>
          <w:marTop w:val="0"/>
          <w:marBottom w:val="0"/>
          <w:divBdr>
            <w:top w:val="none" w:sz="0" w:space="0" w:color="auto"/>
            <w:left w:val="none" w:sz="0" w:space="0" w:color="auto"/>
            <w:bottom w:val="none" w:sz="0" w:space="0" w:color="auto"/>
            <w:right w:val="none" w:sz="0" w:space="0" w:color="auto"/>
          </w:divBdr>
        </w:div>
        <w:div w:id="2036340930">
          <w:marLeft w:val="0"/>
          <w:marRight w:val="0"/>
          <w:marTop w:val="0"/>
          <w:marBottom w:val="0"/>
          <w:divBdr>
            <w:top w:val="none" w:sz="0" w:space="0" w:color="auto"/>
            <w:left w:val="none" w:sz="0" w:space="0" w:color="auto"/>
            <w:bottom w:val="none" w:sz="0" w:space="0" w:color="auto"/>
            <w:right w:val="none" w:sz="0" w:space="0" w:color="auto"/>
          </w:divBdr>
        </w:div>
      </w:divsChild>
    </w:div>
    <w:div w:id="1854686997">
      <w:bodyDiv w:val="1"/>
      <w:marLeft w:val="0"/>
      <w:marRight w:val="0"/>
      <w:marTop w:val="0"/>
      <w:marBottom w:val="0"/>
      <w:divBdr>
        <w:top w:val="none" w:sz="0" w:space="0" w:color="auto"/>
        <w:left w:val="none" w:sz="0" w:space="0" w:color="auto"/>
        <w:bottom w:val="none" w:sz="0" w:space="0" w:color="auto"/>
        <w:right w:val="none" w:sz="0" w:space="0" w:color="auto"/>
      </w:divBdr>
    </w:div>
    <w:div w:id="1951233469">
      <w:bodyDiv w:val="1"/>
      <w:marLeft w:val="0"/>
      <w:marRight w:val="0"/>
      <w:marTop w:val="0"/>
      <w:marBottom w:val="0"/>
      <w:divBdr>
        <w:top w:val="none" w:sz="0" w:space="0" w:color="auto"/>
        <w:left w:val="none" w:sz="0" w:space="0" w:color="auto"/>
        <w:bottom w:val="none" w:sz="0" w:space="0" w:color="auto"/>
        <w:right w:val="none" w:sz="0" w:space="0" w:color="auto"/>
      </w:divBdr>
    </w:div>
    <w:div w:id="1968662254">
      <w:bodyDiv w:val="1"/>
      <w:marLeft w:val="0"/>
      <w:marRight w:val="0"/>
      <w:marTop w:val="0"/>
      <w:marBottom w:val="0"/>
      <w:divBdr>
        <w:top w:val="none" w:sz="0" w:space="0" w:color="auto"/>
        <w:left w:val="none" w:sz="0" w:space="0" w:color="auto"/>
        <w:bottom w:val="none" w:sz="0" w:space="0" w:color="auto"/>
        <w:right w:val="none" w:sz="0" w:space="0" w:color="auto"/>
      </w:divBdr>
      <w:divsChild>
        <w:div w:id="131027856">
          <w:marLeft w:val="0"/>
          <w:marRight w:val="0"/>
          <w:marTop w:val="0"/>
          <w:marBottom w:val="0"/>
          <w:divBdr>
            <w:top w:val="none" w:sz="0" w:space="0" w:color="auto"/>
            <w:left w:val="none" w:sz="0" w:space="0" w:color="auto"/>
            <w:bottom w:val="none" w:sz="0" w:space="0" w:color="auto"/>
            <w:right w:val="none" w:sz="0" w:space="0" w:color="auto"/>
          </w:divBdr>
          <w:divsChild>
            <w:div w:id="580257562">
              <w:marLeft w:val="-75"/>
              <w:marRight w:val="0"/>
              <w:marTop w:val="30"/>
              <w:marBottom w:val="30"/>
              <w:divBdr>
                <w:top w:val="none" w:sz="0" w:space="0" w:color="auto"/>
                <w:left w:val="none" w:sz="0" w:space="0" w:color="auto"/>
                <w:bottom w:val="none" w:sz="0" w:space="0" w:color="auto"/>
                <w:right w:val="none" w:sz="0" w:space="0" w:color="auto"/>
              </w:divBdr>
              <w:divsChild>
                <w:div w:id="24908627">
                  <w:marLeft w:val="0"/>
                  <w:marRight w:val="0"/>
                  <w:marTop w:val="0"/>
                  <w:marBottom w:val="0"/>
                  <w:divBdr>
                    <w:top w:val="none" w:sz="0" w:space="0" w:color="auto"/>
                    <w:left w:val="none" w:sz="0" w:space="0" w:color="auto"/>
                    <w:bottom w:val="none" w:sz="0" w:space="0" w:color="auto"/>
                    <w:right w:val="none" w:sz="0" w:space="0" w:color="auto"/>
                  </w:divBdr>
                  <w:divsChild>
                    <w:div w:id="571743020">
                      <w:marLeft w:val="0"/>
                      <w:marRight w:val="0"/>
                      <w:marTop w:val="0"/>
                      <w:marBottom w:val="0"/>
                      <w:divBdr>
                        <w:top w:val="none" w:sz="0" w:space="0" w:color="auto"/>
                        <w:left w:val="none" w:sz="0" w:space="0" w:color="auto"/>
                        <w:bottom w:val="none" w:sz="0" w:space="0" w:color="auto"/>
                        <w:right w:val="none" w:sz="0" w:space="0" w:color="auto"/>
                      </w:divBdr>
                    </w:div>
                  </w:divsChild>
                </w:div>
                <w:div w:id="168184966">
                  <w:marLeft w:val="0"/>
                  <w:marRight w:val="0"/>
                  <w:marTop w:val="0"/>
                  <w:marBottom w:val="0"/>
                  <w:divBdr>
                    <w:top w:val="none" w:sz="0" w:space="0" w:color="auto"/>
                    <w:left w:val="none" w:sz="0" w:space="0" w:color="auto"/>
                    <w:bottom w:val="none" w:sz="0" w:space="0" w:color="auto"/>
                    <w:right w:val="none" w:sz="0" w:space="0" w:color="auto"/>
                  </w:divBdr>
                  <w:divsChild>
                    <w:div w:id="142935424">
                      <w:marLeft w:val="0"/>
                      <w:marRight w:val="0"/>
                      <w:marTop w:val="0"/>
                      <w:marBottom w:val="0"/>
                      <w:divBdr>
                        <w:top w:val="none" w:sz="0" w:space="0" w:color="auto"/>
                        <w:left w:val="none" w:sz="0" w:space="0" w:color="auto"/>
                        <w:bottom w:val="none" w:sz="0" w:space="0" w:color="auto"/>
                        <w:right w:val="none" w:sz="0" w:space="0" w:color="auto"/>
                      </w:divBdr>
                    </w:div>
                  </w:divsChild>
                </w:div>
                <w:div w:id="307900418">
                  <w:marLeft w:val="0"/>
                  <w:marRight w:val="0"/>
                  <w:marTop w:val="0"/>
                  <w:marBottom w:val="0"/>
                  <w:divBdr>
                    <w:top w:val="none" w:sz="0" w:space="0" w:color="auto"/>
                    <w:left w:val="none" w:sz="0" w:space="0" w:color="auto"/>
                    <w:bottom w:val="none" w:sz="0" w:space="0" w:color="auto"/>
                    <w:right w:val="none" w:sz="0" w:space="0" w:color="auto"/>
                  </w:divBdr>
                  <w:divsChild>
                    <w:div w:id="1634869955">
                      <w:marLeft w:val="0"/>
                      <w:marRight w:val="0"/>
                      <w:marTop w:val="0"/>
                      <w:marBottom w:val="0"/>
                      <w:divBdr>
                        <w:top w:val="none" w:sz="0" w:space="0" w:color="auto"/>
                        <w:left w:val="none" w:sz="0" w:space="0" w:color="auto"/>
                        <w:bottom w:val="none" w:sz="0" w:space="0" w:color="auto"/>
                        <w:right w:val="none" w:sz="0" w:space="0" w:color="auto"/>
                      </w:divBdr>
                    </w:div>
                  </w:divsChild>
                </w:div>
                <w:div w:id="411702123">
                  <w:marLeft w:val="0"/>
                  <w:marRight w:val="0"/>
                  <w:marTop w:val="0"/>
                  <w:marBottom w:val="0"/>
                  <w:divBdr>
                    <w:top w:val="none" w:sz="0" w:space="0" w:color="auto"/>
                    <w:left w:val="none" w:sz="0" w:space="0" w:color="auto"/>
                    <w:bottom w:val="none" w:sz="0" w:space="0" w:color="auto"/>
                    <w:right w:val="none" w:sz="0" w:space="0" w:color="auto"/>
                  </w:divBdr>
                  <w:divsChild>
                    <w:div w:id="1480344194">
                      <w:marLeft w:val="0"/>
                      <w:marRight w:val="0"/>
                      <w:marTop w:val="0"/>
                      <w:marBottom w:val="0"/>
                      <w:divBdr>
                        <w:top w:val="none" w:sz="0" w:space="0" w:color="auto"/>
                        <w:left w:val="none" w:sz="0" w:space="0" w:color="auto"/>
                        <w:bottom w:val="none" w:sz="0" w:space="0" w:color="auto"/>
                        <w:right w:val="none" w:sz="0" w:space="0" w:color="auto"/>
                      </w:divBdr>
                    </w:div>
                  </w:divsChild>
                </w:div>
                <w:div w:id="802699191">
                  <w:marLeft w:val="0"/>
                  <w:marRight w:val="0"/>
                  <w:marTop w:val="0"/>
                  <w:marBottom w:val="0"/>
                  <w:divBdr>
                    <w:top w:val="none" w:sz="0" w:space="0" w:color="auto"/>
                    <w:left w:val="none" w:sz="0" w:space="0" w:color="auto"/>
                    <w:bottom w:val="none" w:sz="0" w:space="0" w:color="auto"/>
                    <w:right w:val="none" w:sz="0" w:space="0" w:color="auto"/>
                  </w:divBdr>
                  <w:divsChild>
                    <w:div w:id="1758943550">
                      <w:marLeft w:val="0"/>
                      <w:marRight w:val="0"/>
                      <w:marTop w:val="0"/>
                      <w:marBottom w:val="0"/>
                      <w:divBdr>
                        <w:top w:val="none" w:sz="0" w:space="0" w:color="auto"/>
                        <w:left w:val="none" w:sz="0" w:space="0" w:color="auto"/>
                        <w:bottom w:val="none" w:sz="0" w:space="0" w:color="auto"/>
                        <w:right w:val="none" w:sz="0" w:space="0" w:color="auto"/>
                      </w:divBdr>
                    </w:div>
                  </w:divsChild>
                </w:div>
                <w:div w:id="980886810">
                  <w:marLeft w:val="0"/>
                  <w:marRight w:val="0"/>
                  <w:marTop w:val="0"/>
                  <w:marBottom w:val="0"/>
                  <w:divBdr>
                    <w:top w:val="none" w:sz="0" w:space="0" w:color="auto"/>
                    <w:left w:val="none" w:sz="0" w:space="0" w:color="auto"/>
                    <w:bottom w:val="none" w:sz="0" w:space="0" w:color="auto"/>
                    <w:right w:val="none" w:sz="0" w:space="0" w:color="auto"/>
                  </w:divBdr>
                  <w:divsChild>
                    <w:div w:id="1934850101">
                      <w:marLeft w:val="0"/>
                      <w:marRight w:val="0"/>
                      <w:marTop w:val="0"/>
                      <w:marBottom w:val="0"/>
                      <w:divBdr>
                        <w:top w:val="none" w:sz="0" w:space="0" w:color="auto"/>
                        <w:left w:val="none" w:sz="0" w:space="0" w:color="auto"/>
                        <w:bottom w:val="none" w:sz="0" w:space="0" w:color="auto"/>
                        <w:right w:val="none" w:sz="0" w:space="0" w:color="auto"/>
                      </w:divBdr>
                    </w:div>
                  </w:divsChild>
                </w:div>
                <w:div w:id="1405643146">
                  <w:marLeft w:val="0"/>
                  <w:marRight w:val="0"/>
                  <w:marTop w:val="0"/>
                  <w:marBottom w:val="0"/>
                  <w:divBdr>
                    <w:top w:val="none" w:sz="0" w:space="0" w:color="auto"/>
                    <w:left w:val="none" w:sz="0" w:space="0" w:color="auto"/>
                    <w:bottom w:val="none" w:sz="0" w:space="0" w:color="auto"/>
                    <w:right w:val="none" w:sz="0" w:space="0" w:color="auto"/>
                  </w:divBdr>
                  <w:divsChild>
                    <w:div w:id="1566336736">
                      <w:marLeft w:val="0"/>
                      <w:marRight w:val="0"/>
                      <w:marTop w:val="0"/>
                      <w:marBottom w:val="0"/>
                      <w:divBdr>
                        <w:top w:val="none" w:sz="0" w:space="0" w:color="auto"/>
                        <w:left w:val="none" w:sz="0" w:space="0" w:color="auto"/>
                        <w:bottom w:val="none" w:sz="0" w:space="0" w:color="auto"/>
                        <w:right w:val="none" w:sz="0" w:space="0" w:color="auto"/>
                      </w:divBdr>
                    </w:div>
                  </w:divsChild>
                </w:div>
                <w:div w:id="1538010317">
                  <w:marLeft w:val="0"/>
                  <w:marRight w:val="0"/>
                  <w:marTop w:val="0"/>
                  <w:marBottom w:val="0"/>
                  <w:divBdr>
                    <w:top w:val="none" w:sz="0" w:space="0" w:color="auto"/>
                    <w:left w:val="none" w:sz="0" w:space="0" w:color="auto"/>
                    <w:bottom w:val="none" w:sz="0" w:space="0" w:color="auto"/>
                    <w:right w:val="none" w:sz="0" w:space="0" w:color="auto"/>
                  </w:divBdr>
                  <w:divsChild>
                    <w:div w:id="1247306951">
                      <w:marLeft w:val="0"/>
                      <w:marRight w:val="0"/>
                      <w:marTop w:val="0"/>
                      <w:marBottom w:val="0"/>
                      <w:divBdr>
                        <w:top w:val="none" w:sz="0" w:space="0" w:color="auto"/>
                        <w:left w:val="none" w:sz="0" w:space="0" w:color="auto"/>
                        <w:bottom w:val="none" w:sz="0" w:space="0" w:color="auto"/>
                        <w:right w:val="none" w:sz="0" w:space="0" w:color="auto"/>
                      </w:divBdr>
                    </w:div>
                  </w:divsChild>
                </w:div>
                <w:div w:id="1654139779">
                  <w:marLeft w:val="0"/>
                  <w:marRight w:val="0"/>
                  <w:marTop w:val="0"/>
                  <w:marBottom w:val="0"/>
                  <w:divBdr>
                    <w:top w:val="none" w:sz="0" w:space="0" w:color="auto"/>
                    <w:left w:val="none" w:sz="0" w:space="0" w:color="auto"/>
                    <w:bottom w:val="none" w:sz="0" w:space="0" w:color="auto"/>
                    <w:right w:val="none" w:sz="0" w:space="0" w:color="auto"/>
                  </w:divBdr>
                  <w:divsChild>
                    <w:div w:id="1384597011">
                      <w:marLeft w:val="0"/>
                      <w:marRight w:val="0"/>
                      <w:marTop w:val="0"/>
                      <w:marBottom w:val="0"/>
                      <w:divBdr>
                        <w:top w:val="none" w:sz="0" w:space="0" w:color="auto"/>
                        <w:left w:val="none" w:sz="0" w:space="0" w:color="auto"/>
                        <w:bottom w:val="none" w:sz="0" w:space="0" w:color="auto"/>
                        <w:right w:val="none" w:sz="0" w:space="0" w:color="auto"/>
                      </w:divBdr>
                    </w:div>
                  </w:divsChild>
                </w:div>
                <w:div w:id="1729914156">
                  <w:marLeft w:val="0"/>
                  <w:marRight w:val="0"/>
                  <w:marTop w:val="0"/>
                  <w:marBottom w:val="0"/>
                  <w:divBdr>
                    <w:top w:val="none" w:sz="0" w:space="0" w:color="auto"/>
                    <w:left w:val="none" w:sz="0" w:space="0" w:color="auto"/>
                    <w:bottom w:val="none" w:sz="0" w:space="0" w:color="auto"/>
                    <w:right w:val="none" w:sz="0" w:space="0" w:color="auto"/>
                  </w:divBdr>
                  <w:divsChild>
                    <w:div w:id="15388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03476">
          <w:marLeft w:val="0"/>
          <w:marRight w:val="0"/>
          <w:marTop w:val="0"/>
          <w:marBottom w:val="0"/>
          <w:divBdr>
            <w:top w:val="none" w:sz="0" w:space="0" w:color="auto"/>
            <w:left w:val="none" w:sz="0" w:space="0" w:color="auto"/>
            <w:bottom w:val="none" w:sz="0" w:space="0" w:color="auto"/>
            <w:right w:val="none" w:sz="0" w:space="0" w:color="auto"/>
          </w:divBdr>
        </w:div>
        <w:div w:id="270600040">
          <w:marLeft w:val="0"/>
          <w:marRight w:val="0"/>
          <w:marTop w:val="0"/>
          <w:marBottom w:val="0"/>
          <w:divBdr>
            <w:top w:val="none" w:sz="0" w:space="0" w:color="auto"/>
            <w:left w:val="none" w:sz="0" w:space="0" w:color="auto"/>
            <w:bottom w:val="none" w:sz="0" w:space="0" w:color="auto"/>
            <w:right w:val="none" w:sz="0" w:space="0" w:color="auto"/>
          </w:divBdr>
        </w:div>
        <w:div w:id="431323800">
          <w:marLeft w:val="0"/>
          <w:marRight w:val="0"/>
          <w:marTop w:val="0"/>
          <w:marBottom w:val="0"/>
          <w:divBdr>
            <w:top w:val="none" w:sz="0" w:space="0" w:color="auto"/>
            <w:left w:val="none" w:sz="0" w:space="0" w:color="auto"/>
            <w:bottom w:val="none" w:sz="0" w:space="0" w:color="auto"/>
            <w:right w:val="none" w:sz="0" w:space="0" w:color="auto"/>
          </w:divBdr>
        </w:div>
        <w:div w:id="526791950">
          <w:marLeft w:val="0"/>
          <w:marRight w:val="0"/>
          <w:marTop w:val="0"/>
          <w:marBottom w:val="0"/>
          <w:divBdr>
            <w:top w:val="none" w:sz="0" w:space="0" w:color="auto"/>
            <w:left w:val="none" w:sz="0" w:space="0" w:color="auto"/>
            <w:bottom w:val="none" w:sz="0" w:space="0" w:color="auto"/>
            <w:right w:val="none" w:sz="0" w:space="0" w:color="auto"/>
          </w:divBdr>
        </w:div>
        <w:div w:id="564797170">
          <w:marLeft w:val="0"/>
          <w:marRight w:val="0"/>
          <w:marTop w:val="0"/>
          <w:marBottom w:val="0"/>
          <w:divBdr>
            <w:top w:val="none" w:sz="0" w:space="0" w:color="auto"/>
            <w:left w:val="none" w:sz="0" w:space="0" w:color="auto"/>
            <w:bottom w:val="none" w:sz="0" w:space="0" w:color="auto"/>
            <w:right w:val="none" w:sz="0" w:space="0" w:color="auto"/>
          </w:divBdr>
        </w:div>
        <w:div w:id="640967312">
          <w:marLeft w:val="0"/>
          <w:marRight w:val="0"/>
          <w:marTop w:val="0"/>
          <w:marBottom w:val="0"/>
          <w:divBdr>
            <w:top w:val="none" w:sz="0" w:space="0" w:color="auto"/>
            <w:left w:val="none" w:sz="0" w:space="0" w:color="auto"/>
            <w:bottom w:val="none" w:sz="0" w:space="0" w:color="auto"/>
            <w:right w:val="none" w:sz="0" w:space="0" w:color="auto"/>
          </w:divBdr>
        </w:div>
        <w:div w:id="738941435">
          <w:marLeft w:val="0"/>
          <w:marRight w:val="0"/>
          <w:marTop w:val="0"/>
          <w:marBottom w:val="0"/>
          <w:divBdr>
            <w:top w:val="none" w:sz="0" w:space="0" w:color="auto"/>
            <w:left w:val="none" w:sz="0" w:space="0" w:color="auto"/>
            <w:bottom w:val="none" w:sz="0" w:space="0" w:color="auto"/>
            <w:right w:val="none" w:sz="0" w:space="0" w:color="auto"/>
          </w:divBdr>
        </w:div>
        <w:div w:id="881870419">
          <w:marLeft w:val="0"/>
          <w:marRight w:val="0"/>
          <w:marTop w:val="0"/>
          <w:marBottom w:val="0"/>
          <w:divBdr>
            <w:top w:val="none" w:sz="0" w:space="0" w:color="auto"/>
            <w:left w:val="none" w:sz="0" w:space="0" w:color="auto"/>
            <w:bottom w:val="none" w:sz="0" w:space="0" w:color="auto"/>
            <w:right w:val="none" w:sz="0" w:space="0" w:color="auto"/>
          </w:divBdr>
        </w:div>
        <w:div w:id="930430514">
          <w:marLeft w:val="0"/>
          <w:marRight w:val="0"/>
          <w:marTop w:val="0"/>
          <w:marBottom w:val="0"/>
          <w:divBdr>
            <w:top w:val="none" w:sz="0" w:space="0" w:color="auto"/>
            <w:left w:val="none" w:sz="0" w:space="0" w:color="auto"/>
            <w:bottom w:val="none" w:sz="0" w:space="0" w:color="auto"/>
            <w:right w:val="none" w:sz="0" w:space="0" w:color="auto"/>
          </w:divBdr>
        </w:div>
        <w:div w:id="940376097">
          <w:marLeft w:val="0"/>
          <w:marRight w:val="0"/>
          <w:marTop w:val="0"/>
          <w:marBottom w:val="0"/>
          <w:divBdr>
            <w:top w:val="none" w:sz="0" w:space="0" w:color="auto"/>
            <w:left w:val="none" w:sz="0" w:space="0" w:color="auto"/>
            <w:bottom w:val="none" w:sz="0" w:space="0" w:color="auto"/>
            <w:right w:val="none" w:sz="0" w:space="0" w:color="auto"/>
          </w:divBdr>
        </w:div>
        <w:div w:id="970018995">
          <w:marLeft w:val="0"/>
          <w:marRight w:val="0"/>
          <w:marTop w:val="0"/>
          <w:marBottom w:val="0"/>
          <w:divBdr>
            <w:top w:val="none" w:sz="0" w:space="0" w:color="auto"/>
            <w:left w:val="none" w:sz="0" w:space="0" w:color="auto"/>
            <w:bottom w:val="none" w:sz="0" w:space="0" w:color="auto"/>
            <w:right w:val="none" w:sz="0" w:space="0" w:color="auto"/>
          </w:divBdr>
        </w:div>
        <w:div w:id="1004237389">
          <w:marLeft w:val="0"/>
          <w:marRight w:val="0"/>
          <w:marTop w:val="0"/>
          <w:marBottom w:val="0"/>
          <w:divBdr>
            <w:top w:val="none" w:sz="0" w:space="0" w:color="auto"/>
            <w:left w:val="none" w:sz="0" w:space="0" w:color="auto"/>
            <w:bottom w:val="none" w:sz="0" w:space="0" w:color="auto"/>
            <w:right w:val="none" w:sz="0" w:space="0" w:color="auto"/>
          </w:divBdr>
        </w:div>
        <w:div w:id="1005281711">
          <w:marLeft w:val="0"/>
          <w:marRight w:val="0"/>
          <w:marTop w:val="0"/>
          <w:marBottom w:val="0"/>
          <w:divBdr>
            <w:top w:val="none" w:sz="0" w:space="0" w:color="auto"/>
            <w:left w:val="none" w:sz="0" w:space="0" w:color="auto"/>
            <w:bottom w:val="none" w:sz="0" w:space="0" w:color="auto"/>
            <w:right w:val="none" w:sz="0" w:space="0" w:color="auto"/>
          </w:divBdr>
        </w:div>
        <w:div w:id="1245720627">
          <w:marLeft w:val="0"/>
          <w:marRight w:val="0"/>
          <w:marTop w:val="0"/>
          <w:marBottom w:val="0"/>
          <w:divBdr>
            <w:top w:val="none" w:sz="0" w:space="0" w:color="auto"/>
            <w:left w:val="none" w:sz="0" w:space="0" w:color="auto"/>
            <w:bottom w:val="none" w:sz="0" w:space="0" w:color="auto"/>
            <w:right w:val="none" w:sz="0" w:space="0" w:color="auto"/>
          </w:divBdr>
          <w:divsChild>
            <w:div w:id="940184456">
              <w:marLeft w:val="-75"/>
              <w:marRight w:val="0"/>
              <w:marTop w:val="30"/>
              <w:marBottom w:val="30"/>
              <w:divBdr>
                <w:top w:val="none" w:sz="0" w:space="0" w:color="auto"/>
                <w:left w:val="none" w:sz="0" w:space="0" w:color="auto"/>
                <w:bottom w:val="none" w:sz="0" w:space="0" w:color="auto"/>
                <w:right w:val="none" w:sz="0" w:space="0" w:color="auto"/>
              </w:divBdr>
              <w:divsChild>
                <w:div w:id="108355806">
                  <w:marLeft w:val="0"/>
                  <w:marRight w:val="0"/>
                  <w:marTop w:val="0"/>
                  <w:marBottom w:val="0"/>
                  <w:divBdr>
                    <w:top w:val="none" w:sz="0" w:space="0" w:color="auto"/>
                    <w:left w:val="none" w:sz="0" w:space="0" w:color="auto"/>
                    <w:bottom w:val="none" w:sz="0" w:space="0" w:color="auto"/>
                    <w:right w:val="none" w:sz="0" w:space="0" w:color="auto"/>
                  </w:divBdr>
                  <w:divsChild>
                    <w:div w:id="474614923">
                      <w:marLeft w:val="0"/>
                      <w:marRight w:val="0"/>
                      <w:marTop w:val="0"/>
                      <w:marBottom w:val="0"/>
                      <w:divBdr>
                        <w:top w:val="none" w:sz="0" w:space="0" w:color="auto"/>
                        <w:left w:val="none" w:sz="0" w:space="0" w:color="auto"/>
                        <w:bottom w:val="none" w:sz="0" w:space="0" w:color="auto"/>
                        <w:right w:val="none" w:sz="0" w:space="0" w:color="auto"/>
                      </w:divBdr>
                    </w:div>
                    <w:div w:id="1060057869">
                      <w:marLeft w:val="0"/>
                      <w:marRight w:val="0"/>
                      <w:marTop w:val="0"/>
                      <w:marBottom w:val="0"/>
                      <w:divBdr>
                        <w:top w:val="none" w:sz="0" w:space="0" w:color="auto"/>
                        <w:left w:val="none" w:sz="0" w:space="0" w:color="auto"/>
                        <w:bottom w:val="none" w:sz="0" w:space="0" w:color="auto"/>
                        <w:right w:val="none" w:sz="0" w:space="0" w:color="auto"/>
                      </w:divBdr>
                    </w:div>
                  </w:divsChild>
                </w:div>
                <w:div w:id="110170561">
                  <w:marLeft w:val="0"/>
                  <w:marRight w:val="0"/>
                  <w:marTop w:val="0"/>
                  <w:marBottom w:val="0"/>
                  <w:divBdr>
                    <w:top w:val="none" w:sz="0" w:space="0" w:color="auto"/>
                    <w:left w:val="none" w:sz="0" w:space="0" w:color="auto"/>
                    <w:bottom w:val="none" w:sz="0" w:space="0" w:color="auto"/>
                    <w:right w:val="none" w:sz="0" w:space="0" w:color="auto"/>
                  </w:divBdr>
                  <w:divsChild>
                    <w:div w:id="1062295832">
                      <w:marLeft w:val="0"/>
                      <w:marRight w:val="0"/>
                      <w:marTop w:val="0"/>
                      <w:marBottom w:val="0"/>
                      <w:divBdr>
                        <w:top w:val="none" w:sz="0" w:space="0" w:color="auto"/>
                        <w:left w:val="none" w:sz="0" w:space="0" w:color="auto"/>
                        <w:bottom w:val="none" w:sz="0" w:space="0" w:color="auto"/>
                        <w:right w:val="none" w:sz="0" w:space="0" w:color="auto"/>
                      </w:divBdr>
                    </w:div>
                  </w:divsChild>
                </w:div>
                <w:div w:id="588540366">
                  <w:marLeft w:val="0"/>
                  <w:marRight w:val="0"/>
                  <w:marTop w:val="0"/>
                  <w:marBottom w:val="0"/>
                  <w:divBdr>
                    <w:top w:val="none" w:sz="0" w:space="0" w:color="auto"/>
                    <w:left w:val="none" w:sz="0" w:space="0" w:color="auto"/>
                    <w:bottom w:val="none" w:sz="0" w:space="0" w:color="auto"/>
                    <w:right w:val="none" w:sz="0" w:space="0" w:color="auto"/>
                  </w:divBdr>
                  <w:divsChild>
                    <w:div w:id="71315550">
                      <w:marLeft w:val="0"/>
                      <w:marRight w:val="0"/>
                      <w:marTop w:val="0"/>
                      <w:marBottom w:val="0"/>
                      <w:divBdr>
                        <w:top w:val="none" w:sz="0" w:space="0" w:color="auto"/>
                        <w:left w:val="none" w:sz="0" w:space="0" w:color="auto"/>
                        <w:bottom w:val="none" w:sz="0" w:space="0" w:color="auto"/>
                        <w:right w:val="none" w:sz="0" w:space="0" w:color="auto"/>
                      </w:divBdr>
                    </w:div>
                  </w:divsChild>
                </w:div>
                <w:div w:id="595330169">
                  <w:marLeft w:val="0"/>
                  <w:marRight w:val="0"/>
                  <w:marTop w:val="0"/>
                  <w:marBottom w:val="0"/>
                  <w:divBdr>
                    <w:top w:val="none" w:sz="0" w:space="0" w:color="auto"/>
                    <w:left w:val="none" w:sz="0" w:space="0" w:color="auto"/>
                    <w:bottom w:val="none" w:sz="0" w:space="0" w:color="auto"/>
                    <w:right w:val="none" w:sz="0" w:space="0" w:color="auto"/>
                  </w:divBdr>
                  <w:divsChild>
                    <w:div w:id="284122106">
                      <w:marLeft w:val="0"/>
                      <w:marRight w:val="0"/>
                      <w:marTop w:val="0"/>
                      <w:marBottom w:val="0"/>
                      <w:divBdr>
                        <w:top w:val="none" w:sz="0" w:space="0" w:color="auto"/>
                        <w:left w:val="none" w:sz="0" w:space="0" w:color="auto"/>
                        <w:bottom w:val="none" w:sz="0" w:space="0" w:color="auto"/>
                        <w:right w:val="none" w:sz="0" w:space="0" w:color="auto"/>
                      </w:divBdr>
                    </w:div>
                  </w:divsChild>
                </w:div>
                <w:div w:id="595988272">
                  <w:marLeft w:val="0"/>
                  <w:marRight w:val="0"/>
                  <w:marTop w:val="0"/>
                  <w:marBottom w:val="0"/>
                  <w:divBdr>
                    <w:top w:val="none" w:sz="0" w:space="0" w:color="auto"/>
                    <w:left w:val="none" w:sz="0" w:space="0" w:color="auto"/>
                    <w:bottom w:val="none" w:sz="0" w:space="0" w:color="auto"/>
                    <w:right w:val="none" w:sz="0" w:space="0" w:color="auto"/>
                  </w:divBdr>
                  <w:divsChild>
                    <w:div w:id="1370565185">
                      <w:marLeft w:val="0"/>
                      <w:marRight w:val="0"/>
                      <w:marTop w:val="0"/>
                      <w:marBottom w:val="0"/>
                      <w:divBdr>
                        <w:top w:val="none" w:sz="0" w:space="0" w:color="auto"/>
                        <w:left w:val="none" w:sz="0" w:space="0" w:color="auto"/>
                        <w:bottom w:val="none" w:sz="0" w:space="0" w:color="auto"/>
                        <w:right w:val="none" w:sz="0" w:space="0" w:color="auto"/>
                      </w:divBdr>
                    </w:div>
                  </w:divsChild>
                </w:div>
                <w:div w:id="728263718">
                  <w:marLeft w:val="0"/>
                  <w:marRight w:val="0"/>
                  <w:marTop w:val="0"/>
                  <w:marBottom w:val="0"/>
                  <w:divBdr>
                    <w:top w:val="none" w:sz="0" w:space="0" w:color="auto"/>
                    <w:left w:val="none" w:sz="0" w:space="0" w:color="auto"/>
                    <w:bottom w:val="none" w:sz="0" w:space="0" w:color="auto"/>
                    <w:right w:val="none" w:sz="0" w:space="0" w:color="auto"/>
                  </w:divBdr>
                  <w:divsChild>
                    <w:div w:id="1615937261">
                      <w:marLeft w:val="0"/>
                      <w:marRight w:val="0"/>
                      <w:marTop w:val="0"/>
                      <w:marBottom w:val="0"/>
                      <w:divBdr>
                        <w:top w:val="none" w:sz="0" w:space="0" w:color="auto"/>
                        <w:left w:val="none" w:sz="0" w:space="0" w:color="auto"/>
                        <w:bottom w:val="none" w:sz="0" w:space="0" w:color="auto"/>
                        <w:right w:val="none" w:sz="0" w:space="0" w:color="auto"/>
                      </w:divBdr>
                    </w:div>
                  </w:divsChild>
                </w:div>
                <w:div w:id="758333355">
                  <w:marLeft w:val="0"/>
                  <w:marRight w:val="0"/>
                  <w:marTop w:val="0"/>
                  <w:marBottom w:val="0"/>
                  <w:divBdr>
                    <w:top w:val="none" w:sz="0" w:space="0" w:color="auto"/>
                    <w:left w:val="none" w:sz="0" w:space="0" w:color="auto"/>
                    <w:bottom w:val="none" w:sz="0" w:space="0" w:color="auto"/>
                    <w:right w:val="none" w:sz="0" w:space="0" w:color="auto"/>
                  </w:divBdr>
                  <w:divsChild>
                    <w:div w:id="1115442506">
                      <w:marLeft w:val="0"/>
                      <w:marRight w:val="0"/>
                      <w:marTop w:val="0"/>
                      <w:marBottom w:val="0"/>
                      <w:divBdr>
                        <w:top w:val="none" w:sz="0" w:space="0" w:color="auto"/>
                        <w:left w:val="none" w:sz="0" w:space="0" w:color="auto"/>
                        <w:bottom w:val="none" w:sz="0" w:space="0" w:color="auto"/>
                        <w:right w:val="none" w:sz="0" w:space="0" w:color="auto"/>
                      </w:divBdr>
                    </w:div>
                  </w:divsChild>
                </w:div>
                <w:div w:id="770272535">
                  <w:marLeft w:val="0"/>
                  <w:marRight w:val="0"/>
                  <w:marTop w:val="0"/>
                  <w:marBottom w:val="0"/>
                  <w:divBdr>
                    <w:top w:val="none" w:sz="0" w:space="0" w:color="auto"/>
                    <w:left w:val="none" w:sz="0" w:space="0" w:color="auto"/>
                    <w:bottom w:val="none" w:sz="0" w:space="0" w:color="auto"/>
                    <w:right w:val="none" w:sz="0" w:space="0" w:color="auto"/>
                  </w:divBdr>
                  <w:divsChild>
                    <w:div w:id="257564932">
                      <w:marLeft w:val="0"/>
                      <w:marRight w:val="0"/>
                      <w:marTop w:val="0"/>
                      <w:marBottom w:val="0"/>
                      <w:divBdr>
                        <w:top w:val="none" w:sz="0" w:space="0" w:color="auto"/>
                        <w:left w:val="none" w:sz="0" w:space="0" w:color="auto"/>
                        <w:bottom w:val="none" w:sz="0" w:space="0" w:color="auto"/>
                        <w:right w:val="none" w:sz="0" w:space="0" w:color="auto"/>
                      </w:divBdr>
                    </w:div>
                  </w:divsChild>
                </w:div>
                <w:div w:id="826898722">
                  <w:marLeft w:val="0"/>
                  <w:marRight w:val="0"/>
                  <w:marTop w:val="0"/>
                  <w:marBottom w:val="0"/>
                  <w:divBdr>
                    <w:top w:val="none" w:sz="0" w:space="0" w:color="auto"/>
                    <w:left w:val="none" w:sz="0" w:space="0" w:color="auto"/>
                    <w:bottom w:val="none" w:sz="0" w:space="0" w:color="auto"/>
                    <w:right w:val="none" w:sz="0" w:space="0" w:color="auto"/>
                  </w:divBdr>
                  <w:divsChild>
                    <w:div w:id="936716769">
                      <w:marLeft w:val="0"/>
                      <w:marRight w:val="0"/>
                      <w:marTop w:val="0"/>
                      <w:marBottom w:val="0"/>
                      <w:divBdr>
                        <w:top w:val="none" w:sz="0" w:space="0" w:color="auto"/>
                        <w:left w:val="none" w:sz="0" w:space="0" w:color="auto"/>
                        <w:bottom w:val="none" w:sz="0" w:space="0" w:color="auto"/>
                        <w:right w:val="none" w:sz="0" w:space="0" w:color="auto"/>
                      </w:divBdr>
                    </w:div>
                  </w:divsChild>
                </w:div>
                <w:div w:id="947935181">
                  <w:marLeft w:val="0"/>
                  <w:marRight w:val="0"/>
                  <w:marTop w:val="0"/>
                  <w:marBottom w:val="0"/>
                  <w:divBdr>
                    <w:top w:val="none" w:sz="0" w:space="0" w:color="auto"/>
                    <w:left w:val="none" w:sz="0" w:space="0" w:color="auto"/>
                    <w:bottom w:val="none" w:sz="0" w:space="0" w:color="auto"/>
                    <w:right w:val="none" w:sz="0" w:space="0" w:color="auto"/>
                  </w:divBdr>
                  <w:divsChild>
                    <w:div w:id="764806880">
                      <w:marLeft w:val="0"/>
                      <w:marRight w:val="0"/>
                      <w:marTop w:val="0"/>
                      <w:marBottom w:val="0"/>
                      <w:divBdr>
                        <w:top w:val="none" w:sz="0" w:space="0" w:color="auto"/>
                        <w:left w:val="none" w:sz="0" w:space="0" w:color="auto"/>
                        <w:bottom w:val="none" w:sz="0" w:space="0" w:color="auto"/>
                        <w:right w:val="none" w:sz="0" w:space="0" w:color="auto"/>
                      </w:divBdr>
                    </w:div>
                  </w:divsChild>
                </w:div>
                <w:div w:id="964844930">
                  <w:marLeft w:val="0"/>
                  <w:marRight w:val="0"/>
                  <w:marTop w:val="0"/>
                  <w:marBottom w:val="0"/>
                  <w:divBdr>
                    <w:top w:val="none" w:sz="0" w:space="0" w:color="auto"/>
                    <w:left w:val="none" w:sz="0" w:space="0" w:color="auto"/>
                    <w:bottom w:val="none" w:sz="0" w:space="0" w:color="auto"/>
                    <w:right w:val="none" w:sz="0" w:space="0" w:color="auto"/>
                  </w:divBdr>
                  <w:divsChild>
                    <w:div w:id="1436629077">
                      <w:marLeft w:val="0"/>
                      <w:marRight w:val="0"/>
                      <w:marTop w:val="0"/>
                      <w:marBottom w:val="0"/>
                      <w:divBdr>
                        <w:top w:val="none" w:sz="0" w:space="0" w:color="auto"/>
                        <w:left w:val="none" w:sz="0" w:space="0" w:color="auto"/>
                        <w:bottom w:val="none" w:sz="0" w:space="0" w:color="auto"/>
                        <w:right w:val="none" w:sz="0" w:space="0" w:color="auto"/>
                      </w:divBdr>
                    </w:div>
                  </w:divsChild>
                </w:div>
                <w:div w:id="991104447">
                  <w:marLeft w:val="0"/>
                  <w:marRight w:val="0"/>
                  <w:marTop w:val="0"/>
                  <w:marBottom w:val="0"/>
                  <w:divBdr>
                    <w:top w:val="none" w:sz="0" w:space="0" w:color="auto"/>
                    <w:left w:val="none" w:sz="0" w:space="0" w:color="auto"/>
                    <w:bottom w:val="none" w:sz="0" w:space="0" w:color="auto"/>
                    <w:right w:val="none" w:sz="0" w:space="0" w:color="auto"/>
                  </w:divBdr>
                  <w:divsChild>
                    <w:div w:id="803428323">
                      <w:marLeft w:val="0"/>
                      <w:marRight w:val="0"/>
                      <w:marTop w:val="0"/>
                      <w:marBottom w:val="0"/>
                      <w:divBdr>
                        <w:top w:val="none" w:sz="0" w:space="0" w:color="auto"/>
                        <w:left w:val="none" w:sz="0" w:space="0" w:color="auto"/>
                        <w:bottom w:val="none" w:sz="0" w:space="0" w:color="auto"/>
                        <w:right w:val="none" w:sz="0" w:space="0" w:color="auto"/>
                      </w:divBdr>
                    </w:div>
                  </w:divsChild>
                </w:div>
                <w:div w:id="1023750766">
                  <w:marLeft w:val="0"/>
                  <w:marRight w:val="0"/>
                  <w:marTop w:val="0"/>
                  <w:marBottom w:val="0"/>
                  <w:divBdr>
                    <w:top w:val="none" w:sz="0" w:space="0" w:color="auto"/>
                    <w:left w:val="none" w:sz="0" w:space="0" w:color="auto"/>
                    <w:bottom w:val="none" w:sz="0" w:space="0" w:color="auto"/>
                    <w:right w:val="none" w:sz="0" w:space="0" w:color="auto"/>
                  </w:divBdr>
                  <w:divsChild>
                    <w:div w:id="1848055664">
                      <w:marLeft w:val="0"/>
                      <w:marRight w:val="0"/>
                      <w:marTop w:val="0"/>
                      <w:marBottom w:val="0"/>
                      <w:divBdr>
                        <w:top w:val="none" w:sz="0" w:space="0" w:color="auto"/>
                        <w:left w:val="none" w:sz="0" w:space="0" w:color="auto"/>
                        <w:bottom w:val="none" w:sz="0" w:space="0" w:color="auto"/>
                        <w:right w:val="none" w:sz="0" w:space="0" w:color="auto"/>
                      </w:divBdr>
                    </w:div>
                  </w:divsChild>
                </w:div>
                <w:div w:id="1033312665">
                  <w:marLeft w:val="0"/>
                  <w:marRight w:val="0"/>
                  <w:marTop w:val="0"/>
                  <w:marBottom w:val="0"/>
                  <w:divBdr>
                    <w:top w:val="none" w:sz="0" w:space="0" w:color="auto"/>
                    <w:left w:val="none" w:sz="0" w:space="0" w:color="auto"/>
                    <w:bottom w:val="none" w:sz="0" w:space="0" w:color="auto"/>
                    <w:right w:val="none" w:sz="0" w:space="0" w:color="auto"/>
                  </w:divBdr>
                  <w:divsChild>
                    <w:div w:id="1055662217">
                      <w:marLeft w:val="0"/>
                      <w:marRight w:val="0"/>
                      <w:marTop w:val="0"/>
                      <w:marBottom w:val="0"/>
                      <w:divBdr>
                        <w:top w:val="none" w:sz="0" w:space="0" w:color="auto"/>
                        <w:left w:val="none" w:sz="0" w:space="0" w:color="auto"/>
                        <w:bottom w:val="none" w:sz="0" w:space="0" w:color="auto"/>
                        <w:right w:val="none" w:sz="0" w:space="0" w:color="auto"/>
                      </w:divBdr>
                    </w:div>
                  </w:divsChild>
                </w:div>
                <w:div w:id="1096828819">
                  <w:marLeft w:val="0"/>
                  <w:marRight w:val="0"/>
                  <w:marTop w:val="0"/>
                  <w:marBottom w:val="0"/>
                  <w:divBdr>
                    <w:top w:val="none" w:sz="0" w:space="0" w:color="auto"/>
                    <w:left w:val="none" w:sz="0" w:space="0" w:color="auto"/>
                    <w:bottom w:val="none" w:sz="0" w:space="0" w:color="auto"/>
                    <w:right w:val="none" w:sz="0" w:space="0" w:color="auto"/>
                  </w:divBdr>
                  <w:divsChild>
                    <w:div w:id="645475249">
                      <w:marLeft w:val="0"/>
                      <w:marRight w:val="0"/>
                      <w:marTop w:val="0"/>
                      <w:marBottom w:val="0"/>
                      <w:divBdr>
                        <w:top w:val="none" w:sz="0" w:space="0" w:color="auto"/>
                        <w:left w:val="none" w:sz="0" w:space="0" w:color="auto"/>
                        <w:bottom w:val="none" w:sz="0" w:space="0" w:color="auto"/>
                        <w:right w:val="none" w:sz="0" w:space="0" w:color="auto"/>
                      </w:divBdr>
                    </w:div>
                  </w:divsChild>
                </w:div>
                <w:div w:id="1160316352">
                  <w:marLeft w:val="0"/>
                  <w:marRight w:val="0"/>
                  <w:marTop w:val="0"/>
                  <w:marBottom w:val="0"/>
                  <w:divBdr>
                    <w:top w:val="none" w:sz="0" w:space="0" w:color="auto"/>
                    <w:left w:val="none" w:sz="0" w:space="0" w:color="auto"/>
                    <w:bottom w:val="none" w:sz="0" w:space="0" w:color="auto"/>
                    <w:right w:val="none" w:sz="0" w:space="0" w:color="auto"/>
                  </w:divBdr>
                  <w:divsChild>
                    <w:div w:id="648168801">
                      <w:marLeft w:val="0"/>
                      <w:marRight w:val="0"/>
                      <w:marTop w:val="0"/>
                      <w:marBottom w:val="0"/>
                      <w:divBdr>
                        <w:top w:val="none" w:sz="0" w:space="0" w:color="auto"/>
                        <w:left w:val="none" w:sz="0" w:space="0" w:color="auto"/>
                        <w:bottom w:val="none" w:sz="0" w:space="0" w:color="auto"/>
                        <w:right w:val="none" w:sz="0" w:space="0" w:color="auto"/>
                      </w:divBdr>
                    </w:div>
                  </w:divsChild>
                </w:div>
                <w:div w:id="1432702260">
                  <w:marLeft w:val="0"/>
                  <w:marRight w:val="0"/>
                  <w:marTop w:val="0"/>
                  <w:marBottom w:val="0"/>
                  <w:divBdr>
                    <w:top w:val="none" w:sz="0" w:space="0" w:color="auto"/>
                    <w:left w:val="none" w:sz="0" w:space="0" w:color="auto"/>
                    <w:bottom w:val="none" w:sz="0" w:space="0" w:color="auto"/>
                    <w:right w:val="none" w:sz="0" w:space="0" w:color="auto"/>
                  </w:divBdr>
                  <w:divsChild>
                    <w:div w:id="239751336">
                      <w:marLeft w:val="0"/>
                      <w:marRight w:val="0"/>
                      <w:marTop w:val="0"/>
                      <w:marBottom w:val="0"/>
                      <w:divBdr>
                        <w:top w:val="none" w:sz="0" w:space="0" w:color="auto"/>
                        <w:left w:val="none" w:sz="0" w:space="0" w:color="auto"/>
                        <w:bottom w:val="none" w:sz="0" w:space="0" w:color="auto"/>
                        <w:right w:val="none" w:sz="0" w:space="0" w:color="auto"/>
                      </w:divBdr>
                    </w:div>
                  </w:divsChild>
                </w:div>
                <w:div w:id="1612517562">
                  <w:marLeft w:val="0"/>
                  <w:marRight w:val="0"/>
                  <w:marTop w:val="0"/>
                  <w:marBottom w:val="0"/>
                  <w:divBdr>
                    <w:top w:val="none" w:sz="0" w:space="0" w:color="auto"/>
                    <w:left w:val="none" w:sz="0" w:space="0" w:color="auto"/>
                    <w:bottom w:val="none" w:sz="0" w:space="0" w:color="auto"/>
                    <w:right w:val="none" w:sz="0" w:space="0" w:color="auto"/>
                  </w:divBdr>
                  <w:divsChild>
                    <w:div w:id="1436635891">
                      <w:marLeft w:val="0"/>
                      <w:marRight w:val="0"/>
                      <w:marTop w:val="0"/>
                      <w:marBottom w:val="0"/>
                      <w:divBdr>
                        <w:top w:val="none" w:sz="0" w:space="0" w:color="auto"/>
                        <w:left w:val="none" w:sz="0" w:space="0" w:color="auto"/>
                        <w:bottom w:val="none" w:sz="0" w:space="0" w:color="auto"/>
                        <w:right w:val="none" w:sz="0" w:space="0" w:color="auto"/>
                      </w:divBdr>
                    </w:div>
                  </w:divsChild>
                </w:div>
                <w:div w:id="1684548549">
                  <w:marLeft w:val="0"/>
                  <w:marRight w:val="0"/>
                  <w:marTop w:val="0"/>
                  <w:marBottom w:val="0"/>
                  <w:divBdr>
                    <w:top w:val="none" w:sz="0" w:space="0" w:color="auto"/>
                    <w:left w:val="none" w:sz="0" w:space="0" w:color="auto"/>
                    <w:bottom w:val="none" w:sz="0" w:space="0" w:color="auto"/>
                    <w:right w:val="none" w:sz="0" w:space="0" w:color="auto"/>
                  </w:divBdr>
                  <w:divsChild>
                    <w:div w:id="20785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90750">
          <w:marLeft w:val="0"/>
          <w:marRight w:val="0"/>
          <w:marTop w:val="0"/>
          <w:marBottom w:val="0"/>
          <w:divBdr>
            <w:top w:val="none" w:sz="0" w:space="0" w:color="auto"/>
            <w:left w:val="none" w:sz="0" w:space="0" w:color="auto"/>
            <w:bottom w:val="none" w:sz="0" w:space="0" w:color="auto"/>
            <w:right w:val="none" w:sz="0" w:space="0" w:color="auto"/>
          </w:divBdr>
        </w:div>
        <w:div w:id="1779518937">
          <w:marLeft w:val="0"/>
          <w:marRight w:val="0"/>
          <w:marTop w:val="0"/>
          <w:marBottom w:val="0"/>
          <w:divBdr>
            <w:top w:val="none" w:sz="0" w:space="0" w:color="auto"/>
            <w:left w:val="none" w:sz="0" w:space="0" w:color="auto"/>
            <w:bottom w:val="none" w:sz="0" w:space="0" w:color="auto"/>
            <w:right w:val="none" w:sz="0" w:space="0" w:color="auto"/>
          </w:divBdr>
        </w:div>
        <w:div w:id="1900896821">
          <w:marLeft w:val="0"/>
          <w:marRight w:val="0"/>
          <w:marTop w:val="0"/>
          <w:marBottom w:val="0"/>
          <w:divBdr>
            <w:top w:val="none" w:sz="0" w:space="0" w:color="auto"/>
            <w:left w:val="none" w:sz="0" w:space="0" w:color="auto"/>
            <w:bottom w:val="none" w:sz="0" w:space="0" w:color="auto"/>
            <w:right w:val="none" w:sz="0" w:space="0" w:color="auto"/>
          </w:divBdr>
        </w:div>
        <w:div w:id="1912697461">
          <w:marLeft w:val="0"/>
          <w:marRight w:val="0"/>
          <w:marTop w:val="0"/>
          <w:marBottom w:val="0"/>
          <w:divBdr>
            <w:top w:val="none" w:sz="0" w:space="0" w:color="auto"/>
            <w:left w:val="none" w:sz="0" w:space="0" w:color="auto"/>
            <w:bottom w:val="none" w:sz="0" w:space="0" w:color="auto"/>
            <w:right w:val="none" w:sz="0" w:space="0" w:color="auto"/>
          </w:divBdr>
        </w:div>
        <w:div w:id="1988824864">
          <w:marLeft w:val="0"/>
          <w:marRight w:val="0"/>
          <w:marTop w:val="0"/>
          <w:marBottom w:val="0"/>
          <w:divBdr>
            <w:top w:val="none" w:sz="0" w:space="0" w:color="auto"/>
            <w:left w:val="none" w:sz="0" w:space="0" w:color="auto"/>
            <w:bottom w:val="none" w:sz="0" w:space="0" w:color="auto"/>
            <w:right w:val="none" w:sz="0" w:space="0" w:color="auto"/>
          </w:divBdr>
        </w:div>
        <w:div w:id="2071222569">
          <w:marLeft w:val="0"/>
          <w:marRight w:val="0"/>
          <w:marTop w:val="0"/>
          <w:marBottom w:val="0"/>
          <w:divBdr>
            <w:top w:val="none" w:sz="0" w:space="0" w:color="auto"/>
            <w:left w:val="none" w:sz="0" w:space="0" w:color="auto"/>
            <w:bottom w:val="none" w:sz="0" w:space="0" w:color="auto"/>
            <w:right w:val="none" w:sz="0" w:space="0" w:color="auto"/>
          </w:divBdr>
          <w:divsChild>
            <w:div w:id="854805669">
              <w:marLeft w:val="-75"/>
              <w:marRight w:val="0"/>
              <w:marTop w:val="30"/>
              <w:marBottom w:val="30"/>
              <w:divBdr>
                <w:top w:val="none" w:sz="0" w:space="0" w:color="auto"/>
                <w:left w:val="none" w:sz="0" w:space="0" w:color="auto"/>
                <w:bottom w:val="none" w:sz="0" w:space="0" w:color="auto"/>
                <w:right w:val="none" w:sz="0" w:space="0" w:color="auto"/>
              </w:divBdr>
              <w:divsChild>
                <w:div w:id="26419436">
                  <w:marLeft w:val="0"/>
                  <w:marRight w:val="0"/>
                  <w:marTop w:val="0"/>
                  <w:marBottom w:val="0"/>
                  <w:divBdr>
                    <w:top w:val="none" w:sz="0" w:space="0" w:color="auto"/>
                    <w:left w:val="none" w:sz="0" w:space="0" w:color="auto"/>
                    <w:bottom w:val="none" w:sz="0" w:space="0" w:color="auto"/>
                    <w:right w:val="none" w:sz="0" w:space="0" w:color="auto"/>
                  </w:divBdr>
                  <w:divsChild>
                    <w:div w:id="566183307">
                      <w:marLeft w:val="0"/>
                      <w:marRight w:val="0"/>
                      <w:marTop w:val="0"/>
                      <w:marBottom w:val="0"/>
                      <w:divBdr>
                        <w:top w:val="none" w:sz="0" w:space="0" w:color="auto"/>
                        <w:left w:val="none" w:sz="0" w:space="0" w:color="auto"/>
                        <w:bottom w:val="none" w:sz="0" w:space="0" w:color="auto"/>
                        <w:right w:val="none" w:sz="0" w:space="0" w:color="auto"/>
                      </w:divBdr>
                    </w:div>
                  </w:divsChild>
                </w:div>
                <w:div w:id="128866749">
                  <w:marLeft w:val="0"/>
                  <w:marRight w:val="0"/>
                  <w:marTop w:val="0"/>
                  <w:marBottom w:val="0"/>
                  <w:divBdr>
                    <w:top w:val="none" w:sz="0" w:space="0" w:color="auto"/>
                    <w:left w:val="none" w:sz="0" w:space="0" w:color="auto"/>
                    <w:bottom w:val="none" w:sz="0" w:space="0" w:color="auto"/>
                    <w:right w:val="none" w:sz="0" w:space="0" w:color="auto"/>
                  </w:divBdr>
                  <w:divsChild>
                    <w:div w:id="913708868">
                      <w:marLeft w:val="0"/>
                      <w:marRight w:val="0"/>
                      <w:marTop w:val="0"/>
                      <w:marBottom w:val="0"/>
                      <w:divBdr>
                        <w:top w:val="none" w:sz="0" w:space="0" w:color="auto"/>
                        <w:left w:val="none" w:sz="0" w:space="0" w:color="auto"/>
                        <w:bottom w:val="none" w:sz="0" w:space="0" w:color="auto"/>
                        <w:right w:val="none" w:sz="0" w:space="0" w:color="auto"/>
                      </w:divBdr>
                    </w:div>
                  </w:divsChild>
                </w:div>
                <w:div w:id="360865289">
                  <w:marLeft w:val="0"/>
                  <w:marRight w:val="0"/>
                  <w:marTop w:val="0"/>
                  <w:marBottom w:val="0"/>
                  <w:divBdr>
                    <w:top w:val="none" w:sz="0" w:space="0" w:color="auto"/>
                    <w:left w:val="none" w:sz="0" w:space="0" w:color="auto"/>
                    <w:bottom w:val="none" w:sz="0" w:space="0" w:color="auto"/>
                    <w:right w:val="none" w:sz="0" w:space="0" w:color="auto"/>
                  </w:divBdr>
                  <w:divsChild>
                    <w:div w:id="170485351">
                      <w:marLeft w:val="0"/>
                      <w:marRight w:val="0"/>
                      <w:marTop w:val="0"/>
                      <w:marBottom w:val="0"/>
                      <w:divBdr>
                        <w:top w:val="none" w:sz="0" w:space="0" w:color="auto"/>
                        <w:left w:val="none" w:sz="0" w:space="0" w:color="auto"/>
                        <w:bottom w:val="none" w:sz="0" w:space="0" w:color="auto"/>
                        <w:right w:val="none" w:sz="0" w:space="0" w:color="auto"/>
                      </w:divBdr>
                    </w:div>
                  </w:divsChild>
                </w:div>
                <w:div w:id="375356928">
                  <w:marLeft w:val="0"/>
                  <w:marRight w:val="0"/>
                  <w:marTop w:val="0"/>
                  <w:marBottom w:val="0"/>
                  <w:divBdr>
                    <w:top w:val="none" w:sz="0" w:space="0" w:color="auto"/>
                    <w:left w:val="none" w:sz="0" w:space="0" w:color="auto"/>
                    <w:bottom w:val="none" w:sz="0" w:space="0" w:color="auto"/>
                    <w:right w:val="none" w:sz="0" w:space="0" w:color="auto"/>
                  </w:divBdr>
                  <w:divsChild>
                    <w:div w:id="1802263702">
                      <w:marLeft w:val="0"/>
                      <w:marRight w:val="0"/>
                      <w:marTop w:val="0"/>
                      <w:marBottom w:val="0"/>
                      <w:divBdr>
                        <w:top w:val="none" w:sz="0" w:space="0" w:color="auto"/>
                        <w:left w:val="none" w:sz="0" w:space="0" w:color="auto"/>
                        <w:bottom w:val="none" w:sz="0" w:space="0" w:color="auto"/>
                        <w:right w:val="none" w:sz="0" w:space="0" w:color="auto"/>
                      </w:divBdr>
                    </w:div>
                  </w:divsChild>
                </w:div>
                <w:div w:id="443889342">
                  <w:marLeft w:val="0"/>
                  <w:marRight w:val="0"/>
                  <w:marTop w:val="0"/>
                  <w:marBottom w:val="0"/>
                  <w:divBdr>
                    <w:top w:val="none" w:sz="0" w:space="0" w:color="auto"/>
                    <w:left w:val="none" w:sz="0" w:space="0" w:color="auto"/>
                    <w:bottom w:val="none" w:sz="0" w:space="0" w:color="auto"/>
                    <w:right w:val="none" w:sz="0" w:space="0" w:color="auto"/>
                  </w:divBdr>
                  <w:divsChild>
                    <w:div w:id="1416324234">
                      <w:marLeft w:val="0"/>
                      <w:marRight w:val="0"/>
                      <w:marTop w:val="0"/>
                      <w:marBottom w:val="0"/>
                      <w:divBdr>
                        <w:top w:val="none" w:sz="0" w:space="0" w:color="auto"/>
                        <w:left w:val="none" w:sz="0" w:space="0" w:color="auto"/>
                        <w:bottom w:val="none" w:sz="0" w:space="0" w:color="auto"/>
                        <w:right w:val="none" w:sz="0" w:space="0" w:color="auto"/>
                      </w:divBdr>
                    </w:div>
                  </w:divsChild>
                </w:div>
                <w:div w:id="461462895">
                  <w:marLeft w:val="0"/>
                  <w:marRight w:val="0"/>
                  <w:marTop w:val="0"/>
                  <w:marBottom w:val="0"/>
                  <w:divBdr>
                    <w:top w:val="none" w:sz="0" w:space="0" w:color="auto"/>
                    <w:left w:val="none" w:sz="0" w:space="0" w:color="auto"/>
                    <w:bottom w:val="none" w:sz="0" w:space="0" w:color="auto"/>
                    <w:right w:val="none" w:sz="0" w:space="0" w:color="auto"/>
                  </w:divBdr>
                  <w:divsChild>
                    <w:div w:id="1244334738">
                      <w:marLeft w:val="0"/>
                      <w:marRight w:val="0"/>
                      <w:marTop w:val="0"/>
                      <w:marBottom w:val="0"/>
                      <w:divBdr>
                        <w:top w:val="none" w:sz="0" w:space="0" w:color="auto"/>
                        <w:left w:val="none" w:sz="0" w:space="0" w:color="auto"/>
                        <w:bottom w:val="none" w:sz="0" w:space="0" w:color="auto"/>
                        <w:right w:val="none" w:sz="0" w:space="0" w:color="auto"/>
                      </w:divBdr>
                    </w:div>
                  </w:divsChild>
                </w:div>
                <w:div w:id="479154168">
                  <w:marLeft w:val="0"/>
                  <w:marRight w:val="0"/>
                  <w:marTop w:val="0"/>
                  <w:marBottom w:val="0"/>
                  <w:divBdr>
                    <w:top w:val="none" w:sz="0" w:space="0" w:color="auto"/>
                    <w:left w:val="none" w:sz="0" w:space="0" w:color="auto"/>
                    <w:bottom w:val="none" w:sz="0" w:space="0" w:color="auto"/>
                    <w:right w:val="none" w:sz="0" w:space="0" w:color="auto"/>
                  </w:divBdr>
                  <w:divsChild>
                    <w:div w:id="527179128">
                      <w:marLeft w:val="0"/>
                      <w:marRight w:val="0"/>
                      <w:marTop w:val="0"/>
                      <w:marBottom w:val="0"/>
                      <w:divBdr>
                        <w:top w:val="none" w:sz="0" w:space="0" w:color="auto"/>
                        <w:left w:val="none" w:sz="0" w:space="0" w:color="auto"/>
                        <w:bottom w:val="none" w:sz="0" w:space="0" w:color="auto"/>
                        <w:right w:val="none" w:sz="0" w:space="0" w:color="auto"/>
                      </w:divBdr>
                    </w:div>
                  </w:divsChild>
                </w:div>
                <w:div w:id="736439246">
                  <w:marLeft w:val="0"/>
                  <w:marRight w:val="0"/>
                  <w:marTop w:val="0"/>
                  <w:marBottom w:val="0"/>
                  <w:divBdr>
                    <w:top w:val="none" w:sz="0" w:space="0" w:color="auto"/>
                    <w:left w:val="none" w:sz="0" w:space="0" w:color="auto"/>
                    <w:bottom w:val="none" w:sz="0" w:space="0" w:color="auto"/>
                    <w:right w:val="none" w:sz="0" w:space="0" w:color="auto"/>
                  </w:divBdr>
                  <w:divsChild>
                    <w:div w:id="512231666">
                      <w:marLeft w:val="0"/>
                      <w:marRight w:val="0"/>
                      <w:marTop w:val="0"/>
                      <w:marBottom w:val="0"/>
                      <w:divBdr>
                        <w:top w:val="none" w:sz="0" w:space="0" w:color="auto"/>
                        <w:left w:val="none" w:sz="0" w:space="0" w:color="auto"/>
                        <w:bottom w:val="none" w:sz="0" w:space="0" w:color="auto"/>
                        <w:right w:val="none" w:sz="0" w:space="0" w:color="auto"/>
                      </w:divBdr>
                    </w:div>
                  </w:divsChild>
                </w:div>
                <w:div w:id="817651475">
                  <w:marLeft w:val="0"/>
                  <w:marRight w:val="0"/>
                  <w:marTop w:val="0"/>
                  <w:marBottom w:val="0"/>
                  <w:divBdr>
                    <w:top w:val="none" w:sz="0" w:space="0" w:color="auto"/>
                    <w:left w:val="none" w:sz="0" w:space="0" w:color="auto"/>
                    <w:bottom w:val="none" w:sz="0" w:space="0" w:color="auto"/>
                    <w:right w:val="none" w:sz="0" w:space="0" w:color="auto"/>
                  </w:divBdr>
                  <w:divsChild>
                    <w:div w:id="392391292">
                      <w:marLeft w:val="0"/>
                      <w:marRight w:val="0"/>
                      <w:marTop w:val="0"/>
                      <w:marBottom w:val="0"/>
                      <w:divBdr>
                        <w:top w:val="none" w:sz="0" w:space="0" w:color="auto"/>
                        <w:left w:val="none" w:sz="0" w:space="0" w:color="auto"/>
                        <w:bottom w:val="none" w:sz="0" w:space="0" w:color="auto"/>
                        <w:right w:val="none" w:sz="0" w:space="0" w:color="auto"/>
                      </w:divBdr>
                    </w:div>
                  </w:divsChild>
                </w:div>
                <w:div w:id="849029918">
                  <w:marLeft w:val="0"/>
                  <w:marRight w:val="0"/>
                  <w:marTop w:val="0"/>
                  <w:marBottom w:val="0"/>
                  <w:divBdr>
                    <w:top w:val="none" w:sz="0" w:space="0" w:color="auto"/>
                    <w:left w:val="none" w:sz="0" w:space="0" w:color="auto"/>
                    <w:bottom w:val="none" w:sz="0" w:space="0" w:color="auto"/>
                    <w:right w:val="none" w:sz="0" w:space="0" w:color="auto"/>
                  </w:divBdr>
                  <w:divsChild>
                    <w:div w:id="68232940">
                      <w:marLeft w:val="0"/>
                      <w:marRight w:val="0"/>
                      <w:marTop w:val="0"/>
                      <w:marBottom w:val="0"/>
                      <w:divBdr>
                        <w:top w:val="none" w:sz="0" w:space="0" w:color="auto"/>
                        <w:left w:val="none" w:sz="0" w:space="0" w:color="auto"/>
                        <w:bottom w:val="none" w:sz="0" w:space="0" w:color="auto"/>
                        <w:right w:val="none" w:sz="0" w:space="0" w:color="auto"/>
                      </w:divBdr>
                    </w:div>
                  </w:divsChild>
                </w:div>
                <w:div w:id="884370018">
                  <w:marLeft w:val="0"/>
                  <w:marRight w:val="0"/>
                  <w:marTop w:val="0"/>
                  <w:marBottom w:val="0"/>
                  <w:divBdr>
                    <w:top w:val="none" w:sz="0" w:space="0" w:color="auto"/>
                    <w:left w:val="none" w:sz="0" w:space="0" w:color="auto"/>
                    <w:bottom w:val="none" w:sz="0" w:space="0" w:color="auto"/>
                    <w:right w:val="none" w:sz="0" w:space="0" w:color="auto"/>
                  </w:divBdr>
                  <w:divsChild>
                    <w:div w:id="945119687">
                      <w:marLeft w:val="0"/>
                      <w:marRight w:val="0"/>
                      <w:marTop w:val="0"/>
                      <w:marBottom w:val="0"/>
                      <w:divBdr>
                        <w:top w:val="none" w:sz="0" w:space="0" w:color="auto"/>
                        <w:left w:val="none" w:sz="0" w:space="0" w:color="auto"/>
                        <w:bottom w:val="none" w:sz="0" w:space="0" w:color="auto"/>
                        <w:right w:val="none" w:sz="0" w:space="0" w:color="auto"/>
                      </w:divBdr>
                    </w:div>
                  </w:divsChild>
                </w:div>
                <w:div w:id="1285382699">
                  <w:marLeft w:val="0"/>
                  <w:marRight w:val="0"/>
                  <w:marTop w:val="0"/>
                  <w:marBottom w:val="0"/>
                  <w:divBdr>
                    <w:top w:val="none" w:sz="0" w:space="0" w:color="auto"/>
                    <w:left w:val="none" w:sz="0" w:space="0" w:color="auto"/>
                    <w:bottom w:val="none" w:sz="0" w:space="0" w:color="auto"/>
                    <w:right w:val="none" w:sz="0" w:space="0" w:color="auto"/>
                  </w:divBdr>
                  <w:divsChild>
                    <w:div w:id="1174372002">
                      <w:marLeft w:val="0"/>
                      <w:marRight w:val="0"/>
                      <w:marTop w:val="0"/>
                      <w:marBottom w:val="0"/>
                      <w:divBdr>
                        <w:top w:val="none" w:sz="0" w:space="0" w:color="auto"/>
                        <w:left w:val="none" w:sz="0" w:space="0" w:color="auto"/>
                        <w:bottom w:val="none" w:sz="0" w:space="0" w:color="auto"/>
                        <w:right w:val="none" w:sz="0" w:space="0" w:color="auto"/>
                      </w:divBdr>
                    </w:div>
                  </w:divsChild>
                </w:div>
                <w:div w:id="1309164336">
                  <w:marLeft w:val="0"/>
                  <w:marRight w:val="0"/>
                  <w:marTop w:val="0"/>
                  <w:marBottom w:val="0"/>
                  <w:divBdr>
                    <w:top w:val="none" w:sz="0" w:space="0" w:color="auto"/>
                    <w:left w:val="none" w:sz="0" w:space="0" w:color="auto"/>
                    <w:bottom w:val="none" w:sz="0" w:space="0" w:color="auto"/>
                    <w:right w:val="none" w:sz="0" w:space="0" w:color="auto"/>
                  </w:divBdr>
                  <w:divsChild>
                    <w:div w:id="1300110557">
                      <w:marLeft w:val="0"/>
                      <w:marRight w:val="0"/>
                      <w:marTop w:val="0"/>
                      <w:marBottom w:val="0"/>
                      <w:divBdr>
                        <w:top w:val="none" w:sz="0" w:space="0" w:color="auto"/>
                        <w:left w:val="none" w:sz="0" w:space="0" w:color="auto"/>
                        <w:bottom w:val="none" w:sz="0" w:space="0" w:color="auto"/>
                        <w:right w:val="none" w:sz="0" w:space="0" w:color="auto"/>
                      </w:divBdr>
                    </w:div>
                  </w:divsChild>
                </w:div>
                <w:div w:id="1602761476">
                  <w:marLeft w:val="0"/>
                  <w:marRight w:val="0"/>
                  <w:marTop w:val="0"/>
                  <w:marBottom w:val="0"/>
                  <w:divBdr>
                    <w:top w:val="none" w:sz="0" w:space="0" w:color="auto"/>
                    <w:left w:val="none" w:sz="0" w:space="0" w:color="auto"/>
                    <w:bottom w:val="none" w:sz="0" w:space="0" w:color="auto"/>
                    <w:right w:val="none" w:sz="0" w:space="0" w:color="auto"/>
                  </w:divBdr>
                  <w:divsChild>
                    <w:div w:id="1065568133">
                      <w:marLeft w:val="0"/>
                      <w:marRight w:val="0"/>
                      <w:marTop w:val="0"/>
                      <w:marBottom w:val="0"/>
                      <w:divBdr>
                        <w:top w:val="none" w:sz="0" w:space="0" w:color="auto"/>
                        <w:left w:val="none" w:sz="0" w:space="0" w:color="auto"/>
                        <w:bottom w:val="none" w:sz="0" w:space="0" w:color="auto"/>
                        <w:right w:val="none" w:sz="0" w:space="0" w:color="auto"/>
                      </w:divBdr>
                    </w:div>
                    <w:div w:id="1612710013">
                      <w:marLeft w:val="0"/>
                      <w:marRight w:val="0"/>
                      <w:marTop w:val="0"/>
                      <w:marBottom w:val="0"/>
                      <w:divBdr>
                        <w:top w:val="none" w:sz="0" w:space="0" w:color="auto"/>
                        <w:left w:val="none" w:sz="0" w:space="0" w:color="auto"/>
                        <w:bottom w:val="none" w:sz="0" w:space="0" w:color="auto"/>
                        <w:right w:val="none" w:sz="0" w:space="0" w:color="auto"/>
                      </w:divBdr>
                    </w:div>
                  </w:divsChild>
                </w:div>
                <w:div w:id="1956980485">
                  <w:marLeft w:val="0"/>
                  <w:marRight w:val="0"/>
                  <w:marTop w:val="0"/>
                  <w:marBottom w:val="0"/>
                  <w:divBdr>
                    <w:top w:val="none" w:sz="0" w:space="0" w:color="auto"/>
                    <w:left w:val="none" w:sz="0" w:space="0" w:color="auto"/>
                    <w:bottom w:val="none" w:sz="0" w:space="0" w:color="auto"/>
                    <w:right w:val="none" w:sz="0" w:space="0" w:color="auto"/>
                  </w:divBdr>
                  <w:divsChild>
                    <w:div w:id="525408541">
                      <w:marLeft w:val="0"/>
                      <w:marRight w:val="0"/>
                      <w:marTop w:val="0"/>
                      <w:marBottom w:val="0"/>
                      <w:divBdr>
                        <w:top w:val="none" w:sz="0" w:space="0" w:color="auto"/>
                        <w:left w:val="none" w:sz="0" w:space="0" w:color="auto"/>
                        <w:bottom w:val="none" w:sz="0" w:space="0" w:color="auto"/>
                        <w:right w:val="none" w:sz="0" w:space="0" w:color="auto"/>
                      </w:divBdr>
                    </w:div>
                  </w:divsChild>
                </w:div>
                <w:div w:id="2066222764">
                  <w:marLeft w:val="0"/>
                  <w:marRight w:val="0"/>
                  <w:marTop w:val="0"/>
                  <w:marBottom w:val="0"/>
                  <w:divBdr>
                    <w:top w:val="none" w:sz="0" w:space="0" w:color="auto"/>
                    <w:left w:val="none" w:sz="0" w:space="0" w:color="auto"/>
                    <w:bottom w:val="none" w:sz="0" w:space="0" w:color="auto"/>
                    <w:right w:val="none" w:sz="0" w:space="0" w:color="auto"/>
                  </w:divBdr>
                  <w:divsChild>
                    <w:div w:id="136456331">
                      <w:marLeft w:val="0"/>
                      <w:marRight w:val="0"/>
                      <w:marTop w:val="0"/>
                      <w:marBottom w:val="0"/>
                      <w:divBdr>
                        <w:top w:val="none" w:sz="0" w:space="0" w:color="auto"/>
                        <w:left w:val="none" w:sz="0" w:space="0" w:color="auto"/>
                        <w:bottom w:val="none" w:sz="0" w:space="0" w:color="auto"/>
                        <w:right w:val="none" w:sz="0" w:space="0" w:color="auto"/>
                      </w:divBdr>
                    </w:div>
                  </w:divsChild>
                </w:div>
                <w:div w:id="2101101922">
                  <w:marLeft w:val="0"/>
                  <w:marRight w:val="0"/>
                  <w:marTop w:val="0"/>
                  <w:marBottom w:val="0"/>
                  <w:divBdr>
                    <w:top w:val="none" w:sz="0" w:space="0" w:color="auto"/>
                    <w:left w:val="none" w:sz="0" w:space="0" w:color="auto"/>
                    <w:bottom w:val="none" w:sz="0" w:space="0" w:color="auto"/>
                    <w:right w:val="none" w:sz="0" w:space="0" w:color="auto"/>
                  </w:divBdr>
                  <w:divsChild>
                    <w:div w:id="2134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71902">
          <w:marLeft w:val="0"/>
          <w:marRight w:val="0"/>
          <w:marTop w:val="0"/>
          <w:marBottom w:val="0"/>
          <w:divBdr>
            <w:top w:val="none" w:sz="0" w:space="0" w:color="auto"/>
            <w:left w:val="none" w:sz="0" w:space="0" w:color="auto"/>
            <w:bottom w:val="none" w:sz="0" w:space="0" w:color="auto"/>
            <w:right w:val="none" w:sz="0" w:space="0" w:color="auto"/>
          </w:divBdr>
        </w:div>
      </w:divsChild>
    </w:div>
    <w:div w:id="2018968794">
      <w:bodyDiv w:val="1"/>
      <w:marLeft w:val="0"/>
      <w:marRight w:val="0"/>
      <w:marTop w:val="0"/>
      <w:marBottom w:val="0"/>
      <w:divBdr>
        <w:top w:val="none" w:sz="0" w:space="0" w:color="auto"/>
        <w:left w:val="none" w:sz="0" w:space="0" w:color="auto"/>
        <w:bottom w:val="none" w:sz="0" w:space="0" w:color="auto"/>
        <w:right w:val="none" w:sz="0" w:space="0" w:color="auto"/>
      </w:divBdr>
    </w:div>
    <w:div w:id="2130124994">
      <w:bodyDiv w:val="1"/>
      <w:marLeft w:val="0"/>
      <w:marRight w:val="0"/>
      <w:marTop w:val="0"/>
      <w:marBottom w:val="0"/>
      <w:divBdr>
        <w:top w:val="none" w:sz="0" w:space="0" w:color="auto"/>
        <w:left w:val="none" w:sz="0" w:space="0" w:color="auto"/>
        <w:bottom w:val="none" w:sz="0" w:space="0" w:color="auto"/>
        <w:right w:val="none" w:sz="0" w:space="0" w:color="auto"/>
      </w:divBdr>
      <w:divsChild>
        <w:div w:id="33384873">
          <w:marLeft w:val="0"/>
          <w:marRight w:val="0"/>
          <w:marTop w:val="0"/>
          <w:marBottom w:val="0"/>
          <w:divBdr>
            <w:top w:val="none" w:sz="0" w:space="0" w:color="auto"/>
            <w:left w:val="none" w:sz="0" w:space="0" w:color="auto"/>
            <w:bottom w:val="none" w:sz="0" w:space="0" w:color="auto"/>
            <w:right w:val="none" w:sz="0" w:space="0" w:color="auto"/>
          </w:divBdr>
        </w:div>
        <w:div w:id="68121635">
          <w:marLeft w:val="0"/>
          <w:marRight w:val="0"/>
          <w:marTop w:val="0"/>
          <w:marBottom w:val="0"/>
          <w:divBdr>
            <w:top w:val="none" w:sz="0" w:space="0" w:color="auto"/>
            <w:left w:val="none" w:sz="0" w:space="0" w:color="auto"/>
            <w:bottom w:val="none" w:sz="0" w:space="0" w:color="auto"/>
            <w:right w:val="none" w:sz="0" w:space="0" w:color="auto"/>
          </w:divBdr>
        </w:div>
        <w:div w:id="142626863">
          <w:marLeft w:val="0"/>
          <w:marRight w:val="0"/>
          <w:marTop w:val="0"/>
          <w:marBottom w:val="0"/>
          <w:divBdr>
            <w:top w:val="none" w:sz="0" w:space="0" w:color="auto"/>
            <w:left w:val="none" w:sz="0" w:space="0" w:color="auto"/>
            <w:bottom w:val="none" w:sz="0" w:space="0" w:color="auto"/>
            <w:right w:val="none" w:sz="0" w:space="0" w:color="auto"/>
          </w:divBdr>
          <w:divsChild>
            <w:div w:id="1754858410">
              <w:marLeft w:val="-75"/>
              <w:marRight w:val="0"/>
              <w:marTop w:val="30"/>
              <w:marBottom w:val="30"/>
              <w:divBdr>
                <w:top w:val="none" w:sz="0" w:space="0" w:color="auto"/>
                <w:left w:val="none" w:sz="0" w:space="0" w:color="auto"/>
                <w:bottom w:val="none" w:sz="0" w:space="0" w:color="auto"/>
                <w:right w:val="none" w:sz="0" w:space="0" w:color="auto"/>
              </w:divBdr>
              <w:divsChild>
                <w:div w:id="265162956">
                  <w:marLeft w:val="0"/>
                  <w:marRight w:val="0"/>
                  <w:marTop w:val="0"/>
                  <w:marBottom w:val="0"/>
                  <w:divBdr>
                    <w:top w:val="none" w:sz="0" w:space="0" w:color="auto"/>
                    <w:left w:val="none" w:sz="0" w:space="0" w:color="auto"/>
                    <w:bottom w:val="none" w:sz="0" w:space="0" w:color="auto"/>
                    <w:right w:val="none" w:sz="0" w:space="0" w:color="auto"/>
                  </w:divBdr>
                  <w:divsChild>
                    <w:div w:id="1101726616">
                      <w:marLeft w:val="0"/>
                      <w:marRight w:val="0"/>
                      <w:marTop w:val="0"/>
                      <w:marBottom w:val="0"/>
                      <w:divBdr>
                        <w:top w:val="none" w:sz="0" w:space="0" w:color="auto"/>
                        <w:left w:val="none" w:sz="0" w:space="0" w:color="auto"/>
                        <w:bottom w:val="none" w:sz="0" w:space="0" w:color="auto"/>
                        <w:right w:val="none" w:sz="0" w:space="0" w:color="auto"/>
                      </w:divBdr>
                    </w:div>
                    <w:div w:id="1558859935">
                      <w:marLeft w:val="0"/>
                      <w:marRight w:val="0"/>
                      <w:marTop w:val="0"/>
                      <w:marBottom w:val="0"/>
                      <w:divBdr>
                        <w:top w:val="none" w:sz="0" w:space="0" w:color="auto"/>
                        <w:left w:val="none" w:sz="0" w:space="0" w:color="auto"/>
                        <w:bottom w:val="none" w:sz="0" w:space="0" w:color="auto"/>
                        <w:right w:val="none" w:sz="0" w:space="0" w:color="auto"/>
                      </w:divBdr>
                    </w:div>
                  </w:divsChild>
                </w:div>
                <w:div w:id="390734051">
                  <w:marLeft w:val="0"/>
                  <w:marRight w:val="0"/>
                  <w:marTop w:val="0"/>
                  <w:marBottom w:val="0"/>
                  <w:divBdr>
                    <w:top w:val="none" w:sz="0" w:space="0" w:color="auto"/>
                    <w:left w:val="none" w:sz="0" w:space="0" w:color="auto"/>
                    <w:bottom w:val="none" w:sz="0" w:space="0" w:color="auto"/>
                    <w:right w:val="none" w:sz="0" w:space="0" w:color="auto"/>
                  </w:divBdr>
                  <w:divsChild>
                    <w:div w:id="1497071355">
                      <w:marLeft w:val="0"/>
                      <w:marRight w:val="0"/>
                      <w:marTop w:val="0"/>
                      <w:marBottom w:val="0"/>
                      <w:divBdr>
                        <w:top w:val="none" w:sz="0" w:space="0" w:color="auto"/>
                        <w:left w:val="none" w:sz="0" w:space="0" w:color="auto"/>
                        <w:bottom w:val="none" w:sz="0" w:space="0" w:color="auto"/>
                        <w:right w:val="none" w:sz="0" w:space="0" w:color="auto"/>
                      </w:divBdr>
                    </w:div>
                  </w:divsChild>
                </w:div>
                <w:div w:id="417409493">
                  <w:marLeft w:val="0"/>
                  <w:marRight w:val="0"/>
                  <w:marTop w:val="0"/>
                  <w:marBottom w:val="0"/>
                  <w:divBdr>
                    <w:top w:val="none" w:sz="0" w:space="0" w:color="auto"/>
                    <w:left w:val="none" w:sz="0" w:space="0" w:color="auto"/>
                    <w:bottom w:val="none" w:sz="0" w:space="0" w:color="auto"/>
                    <w:right w:val="none" w:sz="0" w:space="0" w:color="auto"/>
                  </w:divBdr>
                  <w:divsChild>
                    <w:div w:id="1612083198">
                      <w:marLeft w:val="0"/>
                      <w:marRight w:val="0"/>
                      <w:marTop w:val="0"/>
                      <w:marBottom w:val="0"/>
                      <w:divBdr>
                        <w:top w:val="none" w:sz="0" w:space="0" w:color="auto"/>
                        <w:left w:val="none" w:sz="0" w:space="0" w:color="auto"/>
                        <w:bottom w:val="none" w:sz="0" w:space="0" w:color="auto"/>
                        <w:right w:val="none" w:sz="0" w:space="0" w:color="auto"/>
                      </w:divBdr>
                    </w:div>
                  </w:divsChild>
                </w:div>
                <w:div w:id="630287961">
                  <w:marLeft w:val="0"/>
                  <w:marRight w:val="0"/>
                  <w:marTop w:val="0"/>
                  <w:marBottom w:val="0"/>
                  <w:divBdr>
                    <w:top w:val="none" w:sz="0" w:space="0" w:color="auto"/>
                    <w:left w:val="none" w:sz="0" w:space="0" w:color="auto"/>
                    <w:bottom w:val="none" w:sz="0" w:space="0" w:color="auto"/>
                    <w:right w:val="none" w:sz="0" w:space="0" w:color="auto"/>
                  </w:divBdr>
                  <w:divsChild>
                    <w:div w:id="114758641">
                      <w:marLeft w:val="0"/>
                      <w:marRight w:val="0"/>
                      <w:marTop w:val="0"/>
                      <w:marBottom w:val="0"/>
                      <w:divBdr>
                        <w:top w:val="none" w:sz="0" w:space="0" w:color="auto"/>
                        <w:left w:val="none" w:sz="0" w:space="0" w:color="auto"/>
                        <w:bottom w:val="none" w:sz="0" w:space="0" w:color="auto"/>
                        <w:right w:val="none" w:sz="0" w:space="0" w:color="auto"/>
                      </w:divBdr>
                    </w:div>
                  </w:divsChild>
                </w:div>
                <w:div w:id="634868554">
                  <w:marLeft w:val="0"/>
                  <w:marRight w:val="0"/>
                  <w:marTop w:val="0"/>
                  <w:marBottom w:val="0"/>
                  <w:divBdr>
                    <w:top w:val="none" w:sz="0" w:space="0" w:color="auto"/>
                    <w:left w:val="none" w:sz="0" w:space="0" w:color="auto"/>
                    <w:bottom w:val="none" w:sz="0" w:space="0" w:color="auto"/>
                    <w:right w:val="none" w:sz="0" w:space="0" w:color="auto"/>
                  </w:divBdr>
                  <w:divsChild>
                    <w:div w:id="2127194163">
                      <w:marLeft w:val="0"/>
                      <w:marRight w:val="0"/>
                      <w:marTop w:val="0"/>
                      <w:marBottom w:val="0"/>
                      <w:divBdr>
                        <w:top w:val="none" w:sz="0" w:space="0" w:color="auto"/>
                        <w:left w:val="none" w:sz="0" w:space="0" w:color="auto"/>
                        <w:bottom w:val="none" w:sz="0" w:space="0" w:color="auto"/>
                        <w:right w:val="none" w:sz="0" w:space="0" w:color="auto"/>
                      </w:divBdr>
                    </w:div>
                  </w:divsChild>
                </w:div>
                <w:div w:id="734471603">
                  <w:marLeft w:val="0"/>
                  <w:marRight w:val="0"/>
                  <w:marTop w:val="0"/>
                  <w:marBottom w:val="0"/>
                  <w:divBdr>
                    <w:top w:val="none" w:sz="0" w:space="0" w:color="auto"/>
                    <w:left w:val="none" w:sz="0" w:space="0" w:color="auto"/>
                    <w:bottom w:val="none" w:sz="0" w:space="0" w:color="auto"/>
                    <w:right w:val="none" w:sz="0" w:space="0" w:color="auto"/>
                  </w:divBdr>
                  <w:divsChild>
                    <w:div w:id="475756927">
                      <w:marLeft w:val="0"/>
                      <w:marRight w:val="0"/>
                      <w:marTop w:val="0"/>
                      <w:marBottom w:val="0"/>
                      <w:divBdr>
                        <w:top w:val="none" w:sz="0" w:space="0" w:color="auto"/>
                        <w:left w:val="none" w:sz="0" w:space="0" w:color="auto"/>
                        <w:bottom w:val="none" w:sz="0" w:space="0" w:color="auto"/>
                        <w:right w:val="none" w:sz="0" w:space="0" w:color="auto"/>
                      </w:divBdr>
                    </w:div>
                  </w:divsChild>
                </w:div>
                <w:div w:id="919943521">
                  <w:marLeft w:val="0"/>
                  <w:marRight w:val="0"/>
                  <w:marTop w:val="0"/>
                  <w:marBottom w:val="0"/>
                  <w:divBdr>
                    <w:top w:val="none" w:sz="0" w:space="0" w:color="auto"/>
                    <w:left w:val="none" w:sz="0" w:space="0" w:color="auto"/>
                    <w:bottom w:val="none" w:sz="0" w:space="0" w:color="auto"/>
                    <w:right w:val="none" w:sz="0" w:space="0" w:color="auto"/>
                  </w:divBdr>
                  <w:divsChild>
                    <w:div w:id="1180588603">
                      <w:marLeft w:val="0"/>
                      <w:marRight w:val="0"/>
                      <w:marTop w:val="0"/>
                      <w:marBottom w:val="0"/>
                      <w:divBdr>
                        <w:top w:val="none" w:sz="0" w:space="0" w:color="auto"/>
                        <w:left w:val="none" w:sz="0" w:space="0" w:color="auto"/>
                        <w:bottom w:val="none" w:sz="0" w:space="0" w:color="auto"/>
                        <w:right w:val="none" w:sz="0" w:space="0" w:color="auto"/>
                      </w:divBdr>
                    </w:div>
                  </w:divsChild>
                </w:div>
                <w:div w:id="976183229">
                  <w:marLeft w:val="0"/>
                  <w:marRight w:val="0"/>
                  <w:marTop w:val="0"/>
                  <w:marBottom w:val="0"/>
                  <w:divBdr>
                    <w:top w:val="none" w:sz="0" w:space="0" w:color="auto"/>
                    <w:left w:val="none" w:sz="0" w:space="0" w:color="auto"/>
                    <w:bottom w:val="none" w:sz="0" w:space="0" w:color="auto"/>
                    <w:right w:val="none" w:sz="0" w:space="0" w:color="auto"/>
                  </w:divBdr>
                  <w:divsChild>
                    <w:div w:id="579289297">
                      <w:marLeft w:val="0"/>
                      <w:marRight w:val="0"/>
                      <w:marTop w:val="0"/>
                      <w:marBottom w:val="0"/>
                      <w:divBdr>
                        <w:top w:val="none" w:sz="0" w:space="0" w:color="auto"/>
                        <w:left w:val="none" w:sz="0" w:space="0" w:color="auto"/>
                        <w:bottom w:val="none" w:sz="0" w:space="0" w:color="auto"/>
                        <w:right w:val="none" w:sz="0" w:space="0" w:color="auto"/>
                      </w:divBdr>
                    </w:div>
                  </w:divsChild>
                </w:div>
                <w:div w:id="1141844215">
                  <w:marLeft w:val="0"/>
                  <w:marRight w:val="0"/>
                  <w:marTop w:val="0"/>
                  <w:marBottom w:val="0"/>
                  <w:divBdr>
                    <w:top w:val="none" w:sz="0" w:space="0" w:color="auto"/>
                    <w:left w:val="none" w:sz="0" w:space="0" w:color="auto"/>
                    <w:bottom w:val="none" w:sz="0" w:space="0" w:color="auto"/>
                    <w:right w:val="none" w:sz="0" w:space="0" w:color="auto"/>
                  </w:divBdr>
                  <w:divsChild>
                    <w:div w:id="140729636">
                      <w:marLeft w:val="0"/>
                      <w:marRight w:val="0"/>
                      <w:marTop w:val="0"/>
                      <w:marBottom w:val="0"/>
                      <w:divBdr>
                        <w:top w:val="none" w:sz="0" w:space="0" w:color="auto"/>
                        <w:left w:val="none" w:sz="0" w:space="0" w:color="auto"/>
                        <w:bottom w:val="none" w:sz="0" w:space="0" w:color="auto"/>
                        <w:right w:val="none" w:sz="0" w:space="0" w:color="auto"/>
                      </w:divBdr>
                    </w:div>
                  </w:divsChild>
                </w:div>
                <w:div w:id="1207567450">
                  <w:marLeft w:val="0"/>
                  <w:marRight w:val="0"/>
                  <w:marTop w:val="0"/>
                  <w:marBottom w:val="0"/>
                  <w:divBdr>
                    <w:top w:val="none" w:sz="0" w:space="0" w:color="auto"/>
                    <w:left w:val="none" w:sz="0" w:space="0" w:color="auto"/>
                    <w:bottom w:val="none" w:sz="0" w:space="0" w:color="auto"/>
                    <w:right w:val="none" w:sz="0" w:space="0" w:color="auto"/>
                  </w:divBdr>
                  <w:divsChild>
                    <w:div w:id="1586182944">
                      <w:marLeft w:val="0"/>
                      <w:marRight w:val="0"/>
                      <w:marTop w:val="0"/>
                      <w:marBottom w:val="0"/>
                      <w:divBdr>
                        <w:top w:val="none" w:sz="0" w:space="0" w:color="auto"/>
                        <w:left w:val="none" w:sz="0" w:space="0" w:color="auto"/>
                        <w:bottom w:val="none" w:sz="0" w:space="0" w:color="auto"/>
                        <w:right w:val="none" w:sz="0" w:space="0" w:color="auto"/>
                      </w:divBdr>
                    </w:div>
                  </w:divsChild>
                </w:div>
                <w:div w:id="1297686427">
                  <w:marLeft w:val="0"/>
                  <w:marRight w:val="0"/>
                  <w:marTop w:val="0"/>
                  <w:marBottom w:val="0"/>
                  <w:divBdr>
                    <w:top w:val="none" w:sz="0" w:space="0" w:color="auto"/>
                    <w:left w:val="none" w:sz="0" w:space="0" w:color="auto"/>
                    <w:bottom w:val="none" w:sz="0" w:space="0" w:color="auto"/>
                    <w:right w:val="none" w:sz="0" w:space="0" w:color="auto"/>
                  </w:divBdr>
                  <w:divsChild>
                    <w:div w:id="247740999">
                      <w:marLeft w:val="0"/>
                      <w:marRight w:val="0"/>
                      <w:marTop w:val="0"/>
                      <w:marBottom w:val="0"/>
                      <w:divBdr>
                        <w:top w:val="none" w:sz="0" w:space="0" w:color="auto"/>
                        <w:left w:val="none" w:sz="0" w:space="0" w:color="auto"/>
                        <w:bottom w:val="none" w:sz="0" w:space="0" w:color="auto"/>
                        <w:right w:val="none" w:sz="0" w:space="0" w:color="auto"/>
                      </w:divBdr>
                    </w:div>
                  </w:divsChild>
                </w:div>
                <w:div w:id="1418477526">
                  <w:marLeft w:val="0"/>
                  <w:marRight w:val="0"/>
                  <w:marTop w:val="0"/>
                  <w:marBottom w:val="0"/>
                  <w:divBdr>
                    <w:top w:val="none" w:sz="0" w:space="0" w:color="auto"/>
                    <w:left w:val="none" w:sz="0" w:space="0" w:color="auto"/>
                    <w:bottom w:val="none" w:sz="0" w:space="0" w:color="auto"/>
                    <w:right w:val="none" w:sz="0" w:space="0" w:color="auto"/>
                  </w:divBdr>
                  <w:divsChild>
                    <w:div w:id="134108145">
                      <w:marLeft w:val="0"/>
                      <w:marRight w:val="0"/>
                      <w:marTop w:val="0"/>
                      <w:marBottom w:val="0"/>
                      <w:divBdr>
                        <w:top w:val="none" w:sz="0" w:space="0" w:color="auto"/>
                        <w:left w:val="none" w:sz="0" w:space="0" w:color="auto"/>
                        <w:bottom w:val="none" w:sz="0" w:space="0" w:color="auto"/>
                        <w:right w:val="none" w:sz="0" w:space="0" w:color="auto"/>
                      </w:divBdr>
                    </w:div>
                  </w:divsChild>
                </w:div>
                <w:div w:id="1433697625">
                  <w:marLeft w:val="0"/>
                  <w:marRight w:val="0"/>
                  <w:marTop w:val="0"/>
                  <w:marBottom w:val="0"/>
                  <w:divBdr>
                    <w:top w:val="none" w:sz="0" w:space="0" w:color="auto"/>
                    <w:left w:val="none" w:sz="0" w:space="0" w:color="auto"/>
                    <w:bottom w:val="none" w:sz="0" w:space="0" w:color="auto"/>
                    <w:right w:val="none" w:sz="0" w:space="0" w:color="auto"/>
                  </w:divBdr>
                  <w:divsChild>
                    <w:div w:id="1688021377">
                      <w:marLeft w:val="0"/>
                      <w:marRight w:val="0"/>
                      <w:marTop w:val="0"/>
                      <w:marBottom w:val="0"/>
                      <w:divBdr>
                        <w:top w:val="none" w:sz="0" w:space="0" w:color="auto"/>
                        <w:left w:val="none" w:sz="0" w:space="0" w:color="auto"/>
                        <w:bottom w:val="none" w:sz="0" w:space="0" w:color="auto"/>
                        <w:right w:val="none" w:sz="0" w:space="0" w:color="auto"/>
                      </w:divBdr>
                    </w:div>
                  </w:divsChild>
                </w:div>
                <w:div w:id="1491557024">
                  <w:marLeft w:val="0"/>
                  <w:marRight w:val="0"/>
                  <w:marTop w:val="0"/>
                  <w:marBottom w:val="0"/>
                  <w:divBdr>
                    <w:top w:val="none" w:sz="0" w:space="0" w:color="auto"/>
                    <w:left w:val="none" w:sz="0" w:space="0" w:color="auto"/>
                    <w:bottom w:val="none" w:sz="0" w:space="0" w:color="auto"/>
                    <w:right w:val="none" w:sz="0" w:space="0" w:color="auto"/>
                  </w:divBdr>
                  <w:divsChild>
                    <w:div w:id="1804346850">
                      <w:marLeft w:val="0"/>
                      <w:marRight w:val="0"/>
                      <w:marTop w:val="0"/>
                      <w:marBottom w:val="0"/>
                      <w:divBdr>
                        <w:top w:val="none" w:sz="0" w:space="0" w:color="auto"/>
                        <w:left w:val="none" w:sz="0" w:space="0" w:color="auto"/>
                        <w:bottom w:val="none" w:sz="0" w:space="0" w:color="auto"/>
                        <w:right w:val="none" w:sz="0" w:space="0" w:color="auto"/>
                      </w:divBdr>
                    </w:div>
                  </w:divsChild>
                </w:div>
                <w:div w:id="1839614024">
                  <w:marLeft w:val="0"/>
                  <w:marRight w:val="0"/>
                  <w:marTop w:val="0"/>
                  <w:marBottom w:val="0"/>
                  <w:divBdr>
                    <w:top w:val="none" w:sz="0" w:space="0" w:color="auto"/>
                    <w:left w:val="none" w:sz="0" w:space="0" w:color="auto"/>
                    <w:bottom w:val="none" w:sz="0" w:space="0" w:color="auto"/>
                    <w:right w:val="none" w:sz="0" w:space="0" w:color="auto"/>
                  </w:divBdr>
                  <w:divsChild>
                    <w:div w:id="1022972339">
                      <w:marLeft w:val="0"/>
                      <w:marRight w:val="0"/>
                      <w:marTop w:val="0"/>
                      <w:marBottom w:val="0"/>
                      <w:divBdr>
                        <w:top w:val="none" w:sz="0" w:space="0" w:color="auto"/>
                        <w:left w:val="none" w:sz="0" w:space="0" w:color="auto"/>
                        <w:bottom w:val="none" w:sz="0" w:space="0" w:color="auto"/>
                        <w:right w:val="none" w:sz="0" w:space="0" w:color="auto"/>
                      </w:divBdr>
                    </w:div>
                  </w:divsChild>
                </w:div>
                <w:div w:id="1876959836">
                  <w:marLeft w:val="0"/>
                  <w:marRight w:val="0"/>
                  <w:marTop w:val="0"/>
                  <w:marBottom w:val="0"/>
                  <w:divBdr>
                    <w:top w:val="none" w:sz="0" w:space="0" w:color="auto"/>
                    <w:left w:val="none" w:sz="0" w:space="0" w:color="auto"/>
                    <w:bottom w:val="none" w:sz="0" w:space="0" w:color="auto"/>
                    <w:right w:val="none" w:sz="0" w:space="0" w:color="auto"/>
                  </w:divBdr>
                  <w:divsChild>
                    <w:div w:id="398479875">
                      <w:marLeft w:val="0"/>
                      <w:marRight w:val="0"/>
                      <w:marTop w:val="0"/>
                      <w:marBottom w:val="0"/>
                      <w:divBdr>
                        <w:top w:val="none" w:sz="0" w:space="0" w:color="auto"/>
                        <w:left w:val="none" w:sz="0" w:space="0" w:color="auto"/>
                        <w:bottom w:val="none" w:sz="0" w:space="0" w:color="auto"/>
                        <w:right w:val="none" w:sz="0" w:space="0" w:color="auto"/>
                      </w:divBdr>
                    </w:div>
                  </w:divsChild>
                </w:div>
                <w:div w:id="1880894697">
                  <w:marLeft w:val="0"/>
                  <w:marRight w:val="0"/>
                  <w:marTop w:val="0"/>
                  <w:marBottom w:val="0"/>
                  <w:divBdr>
                    <w:top w:val="none" w:sz="0" w:space="0" w:color="auto"/>
                    <w:left w:val="none" w:sz="0" w:space="0" w:color="auto"/>
                    <w:bottom w:val="none" w:sz="0" w:space="0" w:color="auto"/>
                    <w:right w:val="none" w:sz="0" w:space="0" w:color="auto"/>
                  </w:divBdr>
                  <w:divsChild>
                    <w:div w:id="6578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0339">
          <w:marLeft w:val="0"/>
          <w:marRight w:val="0"/>
          <w:marTop w:val="0"/>
          <w:marBottom w:val="0"/>
          <w:divBdr>
            <w:top w:val="none" w:sz="0" w:space="0" w:color="auto"/>
            <w:left w:val="none" w:sz="0" w:space="0" w:color="auto"/>
            <w:bottom w:val="none" w:sz="0" w:space="0" w:color="auto"/>
            <w:right w:val="none" w:sz="0" w:space="0" w:color="auto"/>
          </w:divBdr>
        </w:div>
        <w:div w:id="207885992">
          <w:marLeft w:val="0"/>
          <w:marRight w:val="0"/>
          <w:marTop w:val="0"/>
          <w:marBottom w:val="0"/>
          <w:divBdr>
            <w:top w:val="none" w:sz="0" w:space="0" w:color="auto"/>
            <w:left w:val="none" w:sz="0" w:space="0" w:color="auto"/>
            <w:bottom w:val="none" w:sz="0" w:space="0" w:color="auto"/>
            <w:right w:val="none" w:sz="0" w:space="0" w:color="auto"/>
          </w:divBdr>
          <w:divsChild>
            <w:div w:id="1879852864">
              <w:marLeft w:val="-75"/>
              <w:marRight w:val="0"/>
              <w:marTop w:val="30"/>
              <w:marBottom w:val="30"/>
              <w:divBdr>
                <w:top w:val="none" w:sz="0" w:space="0" w:color="auto"/>
                <w:left w:val="none" w:sz="0" w:space="0" w:color="auto"/>
                <w:bottom w:val="none" w:sz="0" w:space="0" w:color="auto"/>
                <w:right w:val="none" w:sz="0" w:space="0" w:color="auto"/>
              </w:divBdr>
              <w:divsChild>
                <w:div w:id="45616441">
                  <w:marLeft w:val="0"/>
                  <w:marRight w:val="0"/>
                  <w:marTop w:val="0"/>
                  <w:marBottom w:val="0"/>
                  <w:divBdr>
                    <w:top w:val="none" w:sz="0" w:space="0" w:color="auto"/>
                    <w:left w:val="none" w:sz="0" w:space="0" w:color="auto"/>
                    <w:bottom w:val="none" w:sz="0" w:space="0" w:color="auto"/>
                    <w:right w:val="none" w:sz="0" w:space="0" w:color="auto"/>
                  </w:divBdr>
                  <w:divsChild>
                    <w:div w:id="300774114">
                      <w:marLeft w:val="0"/>
                      <w:marRight w:val="0"/>
                      <w:marTop w:val="0"/>
                      <w:marBottom w:val="0"/>
                      <w:divBdr>
                        <w:top w:val="none" w:sz="0" w:space="0" w:color="auto"/>
                        <w:left w:val="none" w:sz="0" w:space="0" w:color="auto"/>
                        <w:bottom w:val="none" w:sz="0" w:space="0" w:color="auto"/>
                        <w:right w:val="none" w:sz="0" w:space="0" w:color="auto"/>
                      </w:divBdr>
                    </w:div>
                  </w:divsChild>
                </w:div>
                <w:div w:id="76481878">
                  <w:marLeft w:val="0"/>
                  <w:marRight w:val="0"/>
                  <w:marTop w:val="0"/>
                  <w:marBottom w:val="0"/>
                  <w:divBdr>
                    <w:top w:val="none" w:sz="0" w:space="0" w:color="auto"/>
                    <w:left w:val="none" w:sz="0" w:space="0" w:color="auto"/>
                    <w:bottom w:val="none" w:sz="0" w:space="0" w:color="auto"/>
                    <w:right w:val="none" w:sz="0" w:space="0" w:color="auto"/>
                  </w:divBdr>
                  <w:divsChild>
                    <w:div w:id="732856065">
                      <w:marLeft w:val="0"/>
                      <w:marRight w:val="0"/>
                      <w:marTop w:val="0"/>
                      <w:marBottom w:val="0"/>
                      <w:divBdr>
                        <w:top w:val="none" w:sz="0" w:space="0" w:color="auto"/>
                        <w:left w:val="none" w:sz="0" w:space="0" w:color="auto"/>
                        <w:bottom w:val="none" w:sz="0" w:space="0" w:color="auto"/>
                        <w:right w:val="none" w:sz="0" w:space="0" w:color="auto"/>
                      </w:divBdr>
                    </w:div>
                  </w:divsChild>
                </w:div>
                <w:div w:id="124083089">
                  <w:marLeft w:val="0"/>
                  <w:marRight w:val="0"/>
                  <w:marTop w:val="0"/>
                  <w:marBottom w:val="0"/>
                  <w:divBdr>
                    <w:top w:val="none" w:sz="0" w:space="0" w:color="auto"/>
                    <w:left w:val="none" w:sz="0" w:space="0" w:color="auto"/>
                    <w:bottom w:val="none" w:sz="0" w:space="0" w:color="auto"/>
                    <w:right w:val="none" w:sz="0" w:space="0" w:color="auto"/>
                  </w:divBdr>
                  <w:divsChild>
                    <w:div w:id="1498108417">
                      <w:marLeft w:val="0"/>
                      <w:marRight w:val="0"/>
                      <w:marTop w:val="0"/>
                      <w:marBottom w:val="0"/>
                      <w:divBdr>
                        <w:top w:val="none" w:sz="0" w:space="0" w:color="auto"/>
                        <w:left w:val="none" w:sz="0" w:space="0" w:color="auto"/>
                        <w:bottom w:val="none" w:sz="0" w:space="0" w:color="auto"/>
                        <w:right w:val="none" w:sz="0" w:space="0" w:color="auto"/>
                      </w:divBdr>
                    </w:div>
                  </w:divsChild>
                </w:div>
                <w:div w:id="162473557">
                  <w:marLeft w:val="0"/>
                  <w:marRight w:val="0"/>
                  <w:marTop w:val="0"/>
                  <w:marBottom w:val="0"/>
                  <w:divBdr>
                    <w:top w:val="none" w:sz="0" w:space="0" w:color="auto"/>
                    <w:left w:val="none" w:sz="0" w:space="0" w:color="auto"/>
                    <w:bottom w:val="none" w:sz="0" w:space="0" w:color="auto"/>
                    <w:right w:val="none" w:sz="0" w:space="0" w:color="auto"/>
                  </w:divBdr>
                  <w:divsChild>
                    <w:div w:id="1228956349">
                      <w:marLeft w:val="0"/>
                      <w:marRight w:val="0"/>
                      <w:marTop w:val="0"/>
                      <w:marBottom w:val="0"/>
                      <w:divBdr>
                        <w:top w:val="none" w:sz="0" w:space="0" w:color="auto"/>
                        <w:left w:val="none" w:sz="0" w:space="0" w:color="auto"/>
                        <w:bottom w:val="none" w:sz="0" w:space="0" w:color="auto"/>
                        <w:right w:val="none" w:sz="0" w:space="0" w:color="auto"/>
                      </w:divBdr>
                    </w:div>
                  </w:divsChild>
                </w:div>
                <w:div w:id="239601174">
                  <w:marLeft w:val="0"/>
                  <w:marRight w:val="0"/>
                  <w:marTop w:val="0"/>
                  <w:marBottom w:val="0"/>
                  <w:divBdr>
                    <w:top w:val="none" w:sz="0" w:space="0" w:color="auto"/>
                    <w:left w:val="none" w:sz="0" w:space="0" w:color="auto"/>
                    <w:bottom w:val="none" w:sz="0" w:space="0" w:color="auto"/>
                    <w:right w:val="none" w:sz="0" w:space="0" w:color="auto"/>
                  </w:divBdr>
                  <w:divsChild>
                    <w:div w:id="258950886">
                      <w:marLeft w:val="0"/>
                      <w:marRight w:val="0"/>
                      <w:marTop w:val="0"/>
                      <w:marBottom w:val="0"/>
                      <w:divBdr>
                        <w:top w:val="none" w:sz="0" w:space="0" w:color="auto"/>
                        <w:left w:val="none" w:sz="0" w:space="0" w:color="auto"/>
                        <w:bottom w:val="none" w:sz="0" w:space="0" w:color="auto"/>
                        <w:right w:val="none" w:sz="0" w:space="0" w:color="auto"/>
                      </w:divBdr>
                    </w:div>
                  </w:divsChild>
                </w:div>
                <w:div w:id="307591151">
                  <w:marLeft w:val="0"/>
                  <w:marRight w:val="0"/>
                  <w:marTop w:val="0"/>
                  <w:marBottom w:val="0"/>
                  <w:divBdr>
                    <w:top w:val="none" w:sz="0" w:space="0" w:color="auto"/>
                    <w:left w:val="none" w:sz="0" w:space="0" w:color="auto"/>
                    <w:bottom w:val="none" w:sz="0" w:space="0" w:color="auto"/>
                    <w:right w:val="none" w:sz="0" w:space="0" w:color="auto"/>
                  </w:divBdr>
                  <w:divsChild>
                    <w:div w:id="1344892576">
                      <w:marLeft w:val="0"/>
                      <w:marRight w:val="0"/>
                      <w:marTop w:val="0"/>
                      <w:marBottom w:val="0"/>
                      <w:divBdr>
                        <w:top w:val="none" w:sz="0" w:space="0" w:color="auto"/>
                        <w:left w:val="none" w:sz="0" w:space="0" w:color="auto"/>
                        <w:bottom w:val="none" w:sz="0" w:space="0" w:color="auto"/>
                        <w:right w:val="none" w:sz="0" w:space="0" w:color="auto"/>
                      </w:divBdr>
                    </w:div>
                  </w:divsChild>
                </w:div>
                <w:div w:id="413822308">
                  <w:marLeft w:val="0"/>
                  <w:marRight w:val="0"/>
                  <w:marTop w:val="0"/>
                  <w:marBottom w:val="0"/>
                  <w:divBdr>
                    <w:top w:val="none" w:sz="0" w:space="0" w:color="auto"/>
                    <w:left w:val="none" w:sz="0" w:space="0" w:color="auto"/>
                    <w:bottom w:val="none" w:sz="0" w:space="0" w:color="auto"/>
                    <w:right w:val="none" w:sz="0" w:space="0" w:color="auto"/>
                  </w:divBdr>
                  <w:divsChild>
                    <w:div w:id="1293904637">
                      <w:marLeft w:val="0"/>
                      <w:marRight w:val="0"/>
                      <w:marTop w:val="0"/>
                      <w:marBottom w:val="0"/>
                      <w:divBdr>
                        <w:top w:val="none" w:sz="0" w:space="0" w:color="auto"/>
                        <w:left w:val="none" w:sz="0" w:space="0" w:color="auto"/>
                        <w:bottom w:val="none" w:sz="0" w:space="0" w:color="auto"/>
                        <w:right w:val="none" w:sz="0" w:space="0" w:color="auto"/>
                      </w:divBdr>
                    </w:div>
                  </w:divsChild>
                </w:div>
                <w:div w:id="498888880">
                  <w:marLeft w:val="0"/>
                  <w:marRight w:val="0"/>
                  <w:marTop w:val="0"/>
                  <w:marBottom w:val="0"/>
                  <w:divBdr>
                    <w:top w:val="none" w:sz="0" w:space="0" w:color="auto"/>
                    <w:left w:val="none" w:sz="0" w:space="0" w:color="auto"/>
                    <w:bottom w:val="none" w:sz="0" w:space="0" w:color="auto"/>
                    <w:right w:val="none" w:sz="0" w:space="0" w:color="auto"/>
                  </w:divBdr>
                  <w:divsChild>
                    <w:div w:id="216550196">
                      <w:marLeft w:val="0"/>
                      <w:marRight w:val="0"/>
                      <w:marTop w:val="0"/>
                      <w:marBottom w:val="0"/>
                      <w:divBdr>
                        <w:top w:val="none" w:sz="0" w:space="0" w:color="auto"/>
                        <w:left w:val="none" w:sz="0" w:space="0" w:color="auto"/>
                        <w:bottom w:val="none" w:sz="0" w:space="0" w:color="auto"/>
                        <w:right w:val="none" w:sz="0" w:space="0" w:color="auto"/>
                      </w:divBdr>
                    </w:div>
                    <w:div w:id="297540176">
                      <w:marLeft w:val="0"/>
                      <w:marRight w:val="0"/>
                      <w:marTop w:val="0"/>
                      <w:marBottom w:val="0"/>
                      <w:divBdr>
                        <w:top w:val="none" w:sz="0" w:space="0" w:color="auto"/>
                        <w:left w:val="none" w:sz="0" w:space="0" w:color="auto"/>
                        <w:bottom w:val="none" w:sz="0" w:space="0" w:color="auto"/>
                        <w:right w:val="none" w:sz="0" w:space="0" w:color="auto"/>
                      </w:divBdr>
                    </w:div>
                  </w:divsChild>
                </w:div>
                <w:div w:id="548036215">
                  <w:marLeft w:val="0"/>
                  <w:marRight w:val="0"/>
                  <w:marTop w:val="0"/>
                  <w:marBottom w:val="0"/>
                  <w:divBdr>
                    <w:top w:val="none" w:sz="0" w:space="0" w:color="auto"/>
                    <w:left w:val="none" w:sz="0" w:space="0" w:color="auto"/>
                    <w:bottom w:val="none" w:sz="0" w:space="0" w:color="auto"/>
                    <w:right w:val="none" w:sz="0" w:space="0" w:color="auto"/>
                  </w:divBdr>
                  <w:divsChild>
                    <w:div w:id="1742215177">
                      <w:marLeft w:val="0"/>
                      <w:marRight w:val="0"/>
                      <w:marTop w:val="0"/>
                      <w:marBottom w:val="0"/>
                      <w:divBdr>
                        <w:top w:val="none" w:sz="0" w:space="0" w:color="auto"/>
                        <w:left w:val="none" w:sz="0" w:space="0" w:color="auto"/>
                        <w:bottom w:val="none" w:sz="0" w:space="0" w:color="auto"/>
                        <w:right w:val="none" w:sz="0" w:space="0" w:color="auto"/>
                      </w:divBdr>
                    </w:div>
                  </w:divsChild>
                </w:div>
                <w:div w:id="915431625">
                  <w:marLeft w:val="0"/>
                  <w:marRight w:val="0"/>
                  <w:marTop w:val="0"/>
                  <w:marBottom w:val="0"/>
                  <w:divBdr>
                    <w:top w:val="none" w:sz="0" w:space="0" w:color="auto"/>
                    <w:left w:val="none" w:sz="0" w:space="0" w:color="auto"/>
                    <w:bottom w:val="none" w:sz="0" w:space="0" w:color="auto"/>
                    <w:right w:val="none" w:sz="0" w:space="0" w:color="auto"/>
                  </w:divBdr>
                  <w:divsChild>
                    <w:div w:id="1373383538">
                      <w:marLeft w:val="0"/>
                      <w:marRight w:val="0"/>
                      <w:marTop w:val="0"/>
                      <w:marBottom w:val="0"/>
                      <w:divBdr>
                        <w:top w:val="none" w:sz="0" w:space="0" w:color="auto"/>
                        <w:left w:val="none" w:sz="0" w:space="0" w:color="auto"/>
                        <w:bottom w:val="none" w:sz="0" w:space="0" w:color="auto"/>
                        <w:right w:val="none" w:sz="0" w:space="0" w:color="auto"/>
                      </w:divBdr>
                    </w:div>
                  </w:divsChild>
                </w:div>
                <w:div w:id="927234491">
                  <w:marLeft w:val="0"/>
                  <w:marRight w:val="0"/>
                  <w:marTop w:val="0"/>
                  <w:marBottom w:val="0"/>
                  <w:divBdr>
                    <w:top w:val="none" w:sz="0" w:space="0" w:color="auto"/>
                    <w:left w:val="none" w:sz="0" w:space="0" w:color="auto"/>
                    <w:bottom w:val="none" w:sz="0" w:space="0" w:color="auto"/>
                    <w:right w:val="none" w:sz="0" w:space="0" w:color="auto"/>
                  </w:divBdr>
                  <w:divsChild>
                    <w:div w:id="217396666">
                      <w:marLeft w:val="0"/>
                      <w:marRight w:val="0"/>
                      <w:marTop w:val="0"/>
                      <w:marBottom w:val="0"/>
                      <w:divBdr>
                        <w:top w:val="none" w:sz="0" w:space="0" w:color="auto"/>
                        <w:left w:val="none" w:sz="0" w:space="0" w:color="auto"/>
                        <w:bottom w:val="none" w:sz="0" w:space="0" w:color="auto"/>
                        <w:right w:val="none" w:sz="0" w:space="0" w:color="auto"/>
                      </w:divBdr>
                    </w:div>
                  </w:divsChild>
                </w:div>
                <w:div w:id="1299720687">
                  <w:marLeft w:val="0"/>
                  <w:marRight w:val="0"/>
                  <w:marTop w:val="0"/>
                  <w:marBottom w:val="0"/>
                  <w:divBdr>
                    <w:top w:val="none" w:sz="0" w:space="0" w:color="auto"/>
                    <w:left w:val="none" w:sz="0" w:space="0" w:color="auto"/>
                    <w:bottom w:val="none" w:sz="0" w:space="0" w:color="auto"/>
                    <w:right w:val="none" w:sz="0" w:space="0" w:color="auto"/>
                  </w:divBdr>
                  <w:divsChild>
                    <w:div w:id="1570918581">
                      <w:marLeft w:val="0"/>
                      <w:marRight w:val="0"/>
                      <w:marTop w:val="0"/>
                      <w:marBottom w:val="0"/>
                      <w:divBdr>
                        <w:top w:val="none" w:sz="0" w:space="0" w:color="auto"/>
                        <w:left w:val="none" w:sz="0" w:space="0" w:color="auto"/>
                        <w:bottom w:val="none" w:sz="0" w:space="0" w:color="auto"/>
                        <w:right w:val="none" w:sz="0" w:space="0" w:color="auto"/>
                      </w:divBdr>
                    </w:div>
                  </w:divsChild>
                </w:div>
                <w:div w:id="1509247656">
                  <w:marLeft w:val="0"/>
                  <w:marRight w:val="0"/>
                  <w:marTop w:val="0"/>
                  <w:marBottom w:val="0"/>
                  <w:divBdr>
                    <w:top w:val="none" w:sz="0" w:space="0" w:color="auto"/>
                    <w:left w:val="none" w:sz="0" w:space="0" w:color="auto"/>
                    <w:bottom w:val="none" w:sz="0" w:space="0" w:color="auto"/>
                    <w:right w:val="none" w:sz="0" w:space="0" w:color="auto"/>
                  </w:divBdr>
                  <w:divsChild>
                    <w:div w:id="958800360">
                      <w:marLeft w:val="0"/>
                      <w:marRight w:val="0"/>
                      <w:marTop w:val="0"/>
                      <w:marBottom w:val="0"/>
                      <w:divBdr>
                        <w:top w:val="none" w:sz="0" w:space="0" w:color="auto"/>
                        <w:left w:val="none" w:sz="0" w:space="0" w:color="auto"/>
                        <w:bottom w:val="none" w:sz="0" w:space="0" w:color="auto"/>
                        <w:right w:val="none" w:sz="0" w:space="0" w:color="auto"/>
                      </w:divBdr>
                    </w:div>
                  </w:divsChild>
                </w:div>
                <w:div w:id="1796211010">
                  <w:marLeft w:val="0"/>
                  <w:marRight w:val="0"/>
                  <w:marTop w:val="0"/>
                  <w:marBottom w:val="0"/>
                  <w:divBdr>
                    <w:top w:val="none" w:sz="0" w:space="0" w:color="auto"/>
                    <w:left w:val="none" w:sz="0" w:space="0" w:color="auto"/>
                    <w:bottom w:val="none" w:sz="0" w:space="0" w:color="auto"/>
                    <w:right w:val="none" w:sz="0" w:space="0" w:color="auto"/>
                  </w:divBdr>
                  <w:divsChild>
                    <w:div w:id="564534714">
                      <w:marLeft w:val="0"/>
                      <w:marRight w:val="0"/>
                      <w:marTop w:val="0"/>
                      <w:marBottom w:val="0"/>
                      <w:divBdr>
                        <w:top w:val="none" w:sz="0" w:space="0" w:color="auto"/>
                        <w:left w:val="none" w:sz="0" w:space="0" w:color="auto"/>
                        <w:bottom w:val="none" w:sz="0" w:space="0" w:color="auto"/>
                        <w:right w:val="none" w:sz="0" w:space="0" w:color="auto"/>
                      </w:divBdr>
                    </w:div>
                  </w:divsChild>
                </w:div>
                <w:div w:id="1882133168">
                  <w:marLeft w:val="0"/>
                  <w:marRight w:val="0"/>
                  <w:marTop w:val="0"/>
                  <w:marBottom w:val="0"/>
                  <w:divBdr>
                    <w:top w:val="none" w:sz="0" w:space="0" w:color="auto"/>
                    <w:left w:val="none" w:sz="0" w:space="0" w:color="auto"/>
                    <w:bottom w:val="none" w:sz="0" w:space="0" w:color="auto"/>
                    <w:right w:val="none" w:sz="0" w:space="0" w:color="auto"/>
                  </w:divBdr>
                  <w:divsChild>
                    <w:div w:id="957494021">
                      <w:marLeft w:val="0"/>
                      <w:marRight w:val="0"/>
                      <w:marTop w:val="0"/>
                      <w:marBottom w:val="0"/>
                      <w:divBdr>
                        <w:top w:val="none" w:sz="0" w:space="0" w:color="auto"/>
                        <w:left w:val="none" w:sz="0" w:space="0" w:color="auto"/>
                        <w:bottom w:val="none" w:sz="0" w:space="0" w:color="auto"/>
                        <w:right w:val="none" w:sz="0" w:space="0" w:color="auto"/>
                      </w:divBdr>
                    </w:div>
                  </w:divsChild>
                </w:div>
                <w:div w:id="2006010145">
                  <w:marLeft w:val="0"/>
                  <w:marRight w:val="0"/>
                  <w:marTop w:val="0"/>
                  <w:marBottom w:val="0"/>
                  <w:divBdr>
                    <w:top w:val="none" w:sz="0" w:space="0" w:color="auto"/>
                    <w:left w:val="none" w:sz="0" w:space="0" w:color="auto"/>
                    <w:bottom w:val="none" w:sz="0" w:space="0" w:color="auto"/>
                    <w:right w:val="none" w:sz="0" w:space="0" w:color="auto"/>
                  </w:divBdr>
                  <w:divsChild>
                    <w:div w:id="765537887">
                      <w:marLeft w:val="0"/>
                      <w:marRight w:val="0"/>
                      <w:marTop w:val="0"/>
                      <w:marBottom w:val="0"/>
                      <w:divBdr>
                        <w:top w:val="none" w:sz="0" w:space="0" w:color="auto"/>
                        <w:left w:val="none" w:sz="0" w:space="0" w:color="auto"/>
                        <w:bottom w:val="none" w:sz="0" w:space="0" w:color="auto"/>
                        <w:right w:val="none" w:sz="0" w:space="0" w:color="auto"/>
                      </w:divBdr>
                    </w:div>
                  </w:divsChild>
                </w:div>
                <w:div w:id="2010014470">
                  <w:marLeft w:val="0"/>
                  <w:marRight w:val="0"/>
                  <w:marTop w:val="0"/>
                  <w:marBottom w:val="0"/>
                  <w:divBdr>
                    <w:top w:val="none" w:sz="0" w:space="0" w:color="auto"/>
                    <w:left w:val="none" w:sz="0" w:space="0" w:color="auto"/>
                    <w:bottom w:val="none" w:sz="0" w:space="0" w:color="auto"/>
                    <w:right w:val="none" w:sz="0" w:space="0" w:color="auto"/>
                  </w:divBdr>
                  <w:divsChild>
                    <w:div w:id="1092512275">
                      <w:marLeft w:val="0"/>
                      <w:marRight w:val="0"/>
                      <w:marTop w:val="0"/>
                      <w:marBottom w:val="0"/>
                      <w:divBdr>
                        <w:top w:val="none" w:sz="0" w:space="0" w:color="auto"/>
                        <w:left w:val="none" w:sz="0" w:space="0" w:color="auto"/>
                        <w:bottom w:val="none" w:sz="0" w:space="0" w:color="auto"/>
                        <w:right w:val="none" w:sz="0" w:space="0" w:color="auto"/>
                      </w:divBdr>
                    </w:div>
                  </w:divsChild>
                </w:div>
                <w:div w:id="2017464800">
                  <w:marLeft w:val="0"/>
                  <w:marRight w:val="0"/>
                  <w:marTop w:val="0"/>
                  <w:marBottom w:val="0"/>
                  <w:divBdr>
                    <w:top w:val="none" w:sz="0" w:space="0" w:color="auto"/>
                    <w:left w:val="none" w:sz="0" w:space="0" w:color="auto"/>
                    <w:bottom w:val="none" w:sz="0" w:space="0" w:color="auto"/>
                    <w:right w:val="none" w:sz="0" w:space="0" w:color="auto"/>
                  </w:divBdr>
                  <w:divsChild>
                    <w:div w:id="1426801745">
                      <w:marLeft w:val="0"/>
                      <w:marRight w:val="0"/>
                      <w:marTop w:val="0"/>
                      <w:marBottom w:val="0"/>
                      <w:divBdr>
                        <w:top w:val="none" w:sz="0" w:space="0" w:color="auto"/>
                        <w:left w:val="none" w:sz="0" w:space="0" w:color="auto"/>
                        <w:bottom w:val="none" w:sz="0" w:space="0" w:color="auto"/>
                        <w:right w:val="none" w:sz="0" w:space="0" w:color="auto"/>
                      </w:divBdr>
                    </w:div>
                  </w:divsChild>
                </w:div>
                <w:div w:id="2131363038">
                  <w:marLeft w:val="0"/>
                  <w:marRight w:val="0"/>
                  <w:marTop w:val="0"/>
                  <w:marBottom w:val="0"/>
                  <w:divBdr>
                    <w:top w:val="none" w:sz="0" w:space="0" w:color="auto"/>
                    <w:left w:val="none" w:sz="0" w:space="0" w:color="auto"/>
                    <w:bottom w:val="none" w:sz="0" w:space="0" w:color="auto"/>
                    <w:right w:val="none" w:sz="0" w:space="0" w:color="auto"/>
                  </w:divBdr>
                  <w:divsChild>
                    <w:div w:id="7325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8886">
          <w:marLeft w:val="0"/>
          <w:marRight w:val="0"/>
          <w:marTop w:val="0"/>
          <w:marBottom w:val="0"/>
          <w:divBdr>
            <w:top w:val="none" w:sz="0" w:space="0" w:color="auto"/>
            <w:left w:val="none" w:sz="0" w:space="0" w:color="auto"/>
            <w:bottom w:val="none" w:sz="0" w:space="0" w:color="auto"/>
            <w:right w:val="none" w:sz="0" w:space="0" w:color="auto"/>
          </w:divBdr>
        </w:div>
        <w:div w:id="386027957">
          <w:marLeft w:val="0"/>
          <w:marRight w:val="0"/>
          <w:marTop w:val="0"/>
          <w:marBottom w:val="0"/>
          <w:divBdr>
            <w:top w:val="none" w:sz="0" w:space="0" w:color="auto"/>
            <w:left w:val="none" w:sz="0" w:space="0" w:color="auto"/>
            <w:bottom w:val="none" w:sz="0" w:space="0" w:color="auto"/>
            <w:right w:val="none" w:sz="0" w:space="0" w:color="auto"/>
          </w:divBdr>
        </w:div>
        <w:div w:id="466582737">
          <w:marLeft w:val="0"/>
          <w:marRight w:val="0"/>
          <w:marTop w:val="0"/>
          <w:marBottom w:val="0"/>
          <w:divBdr>
            <w:top w:val="none" w:sz="0" w:space="0" w:color="auto"/>
            <w:left w:val="none" w:sz="0" w:space="0" w:color="auto"/>
            <w:bottom w:val="none" w:sz="0" w:space="0" w:color="auto"/>
            <w:right w:val="none" w:sz="0" w:space="0" w:color="auto"/>
          </w:divBdr>
          <w:divsChild>
            <w:div w:id="1509178927">
              <w:marLeft w:val="-75"/>
              <w:marRight w:val="0"/>
              <w:marTop w:val="30"/>
              <w:marBottom w:val="30"/>
              <w:divBdr>
                <w:top w:val="none" w:sz="0" w:space="0" w:color="auto"/>
                <w:left w:val="none" w:sz="0" w:space="0" w:color="auto"/>
                <w:bottom w:val="none" w:sz="0" w:space="0" w:color="auto"/>
                <w:right w:val="none" w:sz="0" w:space="0" w:color="auto"/>
              </w:divBdr>
              <w:divsChild>
                <w:div w:id="20710023">
                  <w:marLeft w:val="0"/>
                  <w:marRight w:val="0"/>
                  <w:marTop w:val="0"/>
                  <w:marBottom w:val="0"/>
                  <w:divBdr>
                    <w:top w:val="none" w:sz="0" w:space="0" w:color="auto"/>
                    <w:left w:val="none" w:sz="0" w:space="0" w:color="auto"/>
                    <w:bottom w:val="none" w:sz="0" w:space="0" w:color="auto"/>
                    <w:right w:val="none" w:sz="0" w:space="0" w:color="auto"/>
                  </w:divBdr>
                  <w:divsChild>
                    <w:div w:id="1756631134">
                      <w:marLeft w:val="0"/>
                      <w:marRight w:val="0"/>
                      <w:marTop w:val="0"/>
                      <w:marBottom w:val="0"/>
                      <w:divBdr>
                        <w:top w:val="none" w:sz="0" w:space="0" w:color="auto"/>
                        <w:left w:val="none" w:sz="0" w:space="0" w:color="auto"/>
                        <w:bottom w:val="none" w:sz="0" w:space="0" w:color="auto"/>
                        <w:right w:val="none" w:sz="0" w:space="0" w:color="auto"/>
                      </w:divBdr>
                    </w:div>
                  </w:divsChild>
                </w:div>
                <w:div w:id="86197876">
                  <w:marLeft w:val="0"/>
                  <w:marRight w:val="0"/>
                  <w:marTop w:val="0"/>
                  <w:marBottom w:val="0"/>
                  <w:divBdr>
                    <w:top w:val="none" w:sz="0" w:space="0" w:color="auto"/>
                    <w:left w:val="none" w:sz="0" w:space="0" w:color="auto"/>
                    <w:bottom w:val="none" w:sz="0" w:space="0" w:color="auto"/>
                    <w:right w:val="none" w:sz="0" w:space="0" w:color="auto"/>
                  </w:divBdr>
                  <w:divsChild>
                    <w:div w:id="2035645882">
                      <w:marLeft w:val="0"/>
                      <w:marRight w:val="0"/>
                      <w:marTop w:val="0"/>
                      <w:marBottom w:val="0"/>
                      <w:divBdr>
                        <w:top w:val="none" w:sz="0" w:space="0" w:color="auto"/>
                        <w:left w:val="none" w:sz="0" w:space="0" w:color="auto"/>
                        <w:bottom w:val="none" w:sz="0" w:space="0" w:color="auto"/>
                        <w:right w:val="none" w:sz="0" w:space="0" w:color="auto"/>
                      </w:divBdr>
                    </w:div>
                  </w:divsChild>
                </w:div>
                <w:div w:id="357660241">
                  <w:marLeft w:val="0"/>
                  <w:marRight w:val="0"/>
                  <w:marTop w:val="0"/>
                  <w:marBottom w:val="0"/>
                  <w:divBdr>
                    <w:top w:val="none" w:sz="0" w:space="0" w:color="auto"/>
                    <w:left w:val="none" w:sz="0" w:space="0" w:color="auto"/>
                    <w:bottom w:val="none" w:sz="0" w:space="0" w:color="auto"/>
                    <w:right w:val="none" w:sz="0" w:space="0" w:color="auto"/>
                  </w:divBdr>
                  <w:divsChild>
                    <w:div w:id="1997370236">
                      <w:marLeft w:val="0"/>
                      <w:marRight w:val="0"/>
                      <w:marTop w:val="0"/>
                      <w:marBottom w:val="0"/>
                      <w:divBdr>
                        <w:top w:val="none" w:sz="0" w:space="0" w:color="auto"/>
                        <w:left w:val="none" w:sz="0" w:space="0" w:color="auto"/>
                        <w:bottom w:val="none" w:sz="0" w:space="0" w:color="auto"/>
                        <w:right w:val="none" w:sz="0" w:space="0" w:color="auto"/>
                      </w:divBdr>
                    </w:div>
                  </w:divsChild>
                </w:div>
                <w:div w:id="714232399">
                  <w:marLeft w:val="0"/>
                  <w:marRight w:val="0"/>
                  <w:marTop w:val="0"/>
                  <w:marBottom w:val="0"/>
                  <w:divBdr>
                    <w:top w:val="none" w:sz="0" w:space="0" w:color="auto"/>
                    <w:left w:val="none" w:sz="0" w:space="0" w:color="auto"/>
                    <w:bottom w:val="none" w:sz="0" w:space="0" w:color="auto"/>
                    <w:right w:val="none" w:sz="0" w:space="0" w:color="auto"/>
                  </w:divBdr>
                  <w:divsChild>
                    <w:div w:id="1387342181">
                      <w:marLeft w:val="0"/>
                      <w:marRight w:val="0"/>
                      <w:marTop w:val="0"/>
                      <w:marBottom w:val="0"/>
                      <w:divBdr>
                        <w:top w:val="none" w:sz="0" w:space="0" w:color="auto"/>
                        <w:left w:val="none" w:sz="0" w:space="0" w:color="auto"/>
                        <w:bottom w:val="none" w:sz="0" w:space="0" w:color="auto"/>
                        <w:right w:val="none" w:sz="0" w:space="0" w:color="auto"/>
                      </w:divBdr>
                    </w:div>
                  </w:divsChild>
                </w:div>
                <w:div w:id="1257127596">
                  <w:marLeft w:val="0"/>
                  <w:marRight w:val="0"/>
                  <w:marTop w:val="0"/>
                  <w:marBottom w:val="0"/>
                  <w:divBdr>
                    <w:top w:val="none" w:sz="0" w:space="0" w:color="auto"/>
                    <w:left w:val="none" w:sz="0" w:space="0" w:color="auto"/>
                    <w:bottom w:val="none" w:sz="0" w:space="0" w:color="auto"/>
                    <w:right w:val="none" w:sz="0" w:space="0" w:color="auto"/>
                  </w:divBdr>
                  <w:divsChild>
                    <w:div w:id="1150559770">
                      <w:marLeft w:val="0"/>
                      <w:marRight w:val="0"/>
                      <w:marTop w:val="0"/>
                      <w:marBottom w:val="0"/>
                      <w:divBdr>
                        <w:top w:val="none" w:sz="0" w:space="0" w:color="auto"/>
                        <w:left w:val="none" w:sz="0" w:space="0" w:color="auto"/>
                        <w:bottom w:val="none" w:sz="0" w:space="0" w:color="auto"/>
                        <w:right w:val="none" w:sz="0" w:space="0" w:color="auto"/>
                      </w:divBdr>
                    </w:div>
                  </w:divsChild>
                </w:div>
                <w:div w:id="1345747863">
                  <w:marLeft w:val="0"/>
                  <w:marRight w:val="0"/>
                  <w:marTop w:val="0"/>
                  <w:marBottom w:val="0"/>
                  <w:divBdr>
                    <w:top w:val="none" w:sz="0" w:space="0" w:color="auto"/>
                    <w:left w:val="none" w:sz="0" w:space="0" w:color="auto"/>
                    <w:bottom w:val="none" w:sz="0" w:space="0" w:color="auto"/>
                    <w:right w:val="none" w:sz="0" w:space="0" w:color="auto"/>
                  </w:divBdr>
                  <w:divsChild>
                    <w:div w:id="798835892">
                      <w:marLeft w:val="0"/>
                      <w:marRight w:val="0"/>
                      <w:marTop w:val="0"/>
                      <w:marBottom w:val="0"/>
                      <w:divBdr>
                        <w:top w:val="none" w:sz="0" w:space="0" w:color="auto"/>
                        <w:left w:val="none" w:sz="0" w:space="0" w:color="auto"/>
                        <w:bottom w:val="none" w:sz="0" w:space="0" w:color="auto"/>
                        <w:right w:val="none" w:sz="0" w:space="0" w:color="auto"/>
                      </w:divBdr>
                    </w:div>
                  </w:divsChild>
                </w:div>
                <w:div w:id="1395815642">
                  <w:marLeft w:val="0"/>
                  <w:marRight w:val="0"/>
                  <w:marTop w:val="0"/>
                  <w:marBottom w:val="0"/>
                  <w:divBdr>
                    <w:top w:val="none" w:sz="0" w:space="0" w:color="auto"/>
                    <w:left w:val="none" w:sz="0" w:space="0" w:color="auto"/>
                    <w:bottom w:val="none" w:sz="0" w:space="0" w:color="auto"/>
                    <w:right w:val="none" w:sz="0" w:space="0" w:color="auto"/>
                  </w:divBdr>
                  <w:divsChild>
                    <w:div w:id="2065249900">
                      <w:marLeft w:val="0"/>
                      <w:marRight w:val="0"/>
                      <w:marTop w:val="0"/>
                      <w:marBottom w:val="0"/>
                      <w:divBdr>
                        <w:top w:val="none" w:sz="0" w:space="0" w:color="auto"/>
                        <w:left w:val="none" w:sz="0" w:space="0" w:color="auto"/>
                        <w:bottom w:val="none" w:sz="0" w:space="0" w:color="auto"/>
                        <w:right w:val="none" w:sz="0" w:space="0" w:color="auto"/>
                      </w:divBdr>
                    </w:div>
                  </w:divsChild>
                </w:div>
                <w:div w:id="1657411661">
                  <w:marLeft w:val="0"/>
                  <w:marRight w:val="0"/>
                  <w:marTop w:val="0"/>
                  <w:marBottom w:val="0"/>
                  <w:divBdr>
                    <w:top w:val="none" w:sz="0" w:space="0" w:color="auto"/>
                    <w:left w:val="none" w:sz="0" w:space="0" w:color="auto"/>
                    <w:bottom w:val="none" w:sz="0" w:space="0" w:color="auto"/>
                    <w:right w:val="none" w:sz="0" w:space="0" w:color="auto"/>
                  </w:divBdr>
                  <w:divsChild>
                    <w:div w:id="8023544">
                      <w:marLeft w:val="0"/>
                      <w:marRight w:val="0"/>
                      <w:marTop w:val="0"/>
                      <w:marBottom w:val="0"/>
                      <w:divBdr>
                        <w:top w:val="none" w:sz="0" w:space="0" w:color="auto"/>
                        <w:left w:val="none" w:sz="0" w:space="0" w:color="auto"/>
                        <w:bottom w:val="none" w:sz="0" w:space="0" w:color="auto"/>
                        <w:right w:val="none" w:sz="0" w:space="0" w:color="auto"/>
                      </w:divBdr>
                    </w:div>
                  </w:divsChild>
                </w:div>
                <w:div w:id="1879001493">
                  <w:marLeft w:val="0"/>
                  <w:marRight w:val="0"/>
                  <w:marTop w:val="0"/>
                  <w:marBottom w:val="0"/>
                  <w:divBdr>
                    <w:top w:val="none" w:sz="0" w:space="0" w:color="auto"/>
                    <w:left w:val="none" w:sz="0" w:space="0" w:color="auto"/>
                    <w:bottom w:val="none" w:sz="0" w:space="0" w:color="auto"/>
                    <w:right w:val="none" w:sz="0" w:space="0" w:color="auto"/>
                  </w:divBdr>
                  <w:divsChild>
                    <w:div w:id="1526556265">
                      <w:marLeft w:val="0"/>
                      <w:marRight w:val="0"/>
                      <w:marTop w:val="0"/>
                      <w:marBottom w:val="0"/>
                      <w:divBdr>
                        <w:top w:val="none" w:sz="0" w:space="0" w:color="auto"/>
                        <w:left w:val="none" w:sz="0" w:space="0" w:color="auto"/>
                        <w:bottom w:val="none" w:sz="0" w:space="0" w:color="auto"/>
                        <w:right w:val="none" w:sz="0" w:space="0" w:color="auto"/>
                      </w:divBdr>
                    </w:div>
                  </w:divsChild>
                </w:div>
                <w:div w:id="1971666426">
                  <w:marLeft w:val="0"/>
                  <w:marRight w:val="0"/>
                  <w:marTop w:val="0"/>
                  <w:marBottom w:val="0"/>
                  <w:divBdr>
                    <w:top w:val="none" w:sz="0" w:space="0" w:color="auto"/>
                    <w:left w:val="none" w:sz="0" w:space="0" w:color="auto"/>
                    <w:bottom w:val="none" w:sz="0" w:space="0" w:color="auto"/>
                    <w:right w:val="none" w:sz="0" w:space="0" w:color="auto"/>
                  </w:divBdr>
                  <w:divsChild>
                    <w:div w:id="2754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6249">
          <w:marLeft w:val="0"/>
          <w:marRight w:val="0"/>
          <w:marTop w:val="0"/>
          <w:marBottom w:val="0"/>
          <w:divBdr>
            <w:top w:val="none" w:sz="0" w:space="0" w:color="auto"/>
            <w:left w:val="none" w:sz="0" w:space="0" w:color="auto"/>
            <w:bottom w:val="none" w:sz="0" w:space="0" w:color="auto"/>
            <w:right w:val="none" w:sz="0" w:space="0" w:color="auto"/>
          </w:divBdr>
        </w:div>
        <w:div w:id="696854229">
          <w:marLeft w:val="0"/>
          <w:marRight w:val="0"/>
          <w:marTop w:val="0"/>
          <w:marBottom w:val="0"/>
          <w:divBdr>
            <w:top w:val="none" w:sz="0" w:space="0" w:color="auto"/>
            <w:left w:val="none" w:sz="0" w:space="0" w:color="auto"/>
            <w:bottom w:val="none" w:sz="0" w:space="0" w:color="auto"/>
            <w:right w:val="none" w:sz="0" w:space="0" w:color="auto"/>
          </w:divBdr>
        </w:div>
        <w:div w:id="930233889">
          <w:marLeft w:val="0"/>
          <w:marRight w:val="0"/>
          <w:marTop w:val="0"/>
          <w:marBottom w:val="0"/>
          <w:divBdr>
            <w:top w:val="none" w:sz="0" w:space="0" w:color="auto"/>
            <w:left w:val="none" w:sz="0" w:space="0" w:color="auto"/>
            <w:bottom w:val="none" w:sz="0" w:space="0" w:color="auto"/>
            <w:right w:val="none" w:sz="0" w:space="0" w:color="auto"/>
          </w:divBdr>
        </w:div>
        <w:div w:id="992563390">
          <w:marLeft w:val="0"/>
          <w:marRight w:val="0"/>
          <w:marTop w:val="0"/>
          <w:marBottom w:val="0"/>
          <w:divBdr>
            <w:top w:val="none" w:sz="0" w:space="0" w:color="auto"/>
            <w:left w:val="none" w:sz="0" w:space="0" w:color="auto"/>
            <w:bottom w:val="none" w:sz="0" w:space="0" w:color="auto"/>
            <w:right w:val="none" w:sz="0" w:space="0" w:color="auto"/>
          </w:divBdr>
        </w:div>
        <w:div w:id="1002706866">
          <w:marLeft w:val="0"/>
          <w:marRight w:val="0"/>
          <w:marTop w:val="0"/>
          <w:marBottom w:val="0"/>
          <w:divBdr>
            <w:top w:val="none" w:sz="0" w:space="0" w:color="auto"/>
            <w:left w:val="none" w:sz="0" w:space="0" w:color="auto"/>
            <w:bottom w:val="none" w:sz="0" w:space="0" w:color="auto"/>
            <w:right w:val="none" w:sz="0" w:space="0" w:color="auto"/>
          </w:divBdr>
        </w:div>
        <w:div w:id="1127310305">
          <w:marLeft w:val="0"/>
          <w:marRight w:val="0"/>
          <w:marTop w:val="0"/>
          <w:marBottom w:val="0"/>
          <w:divBdr>
            <w:top w:val="none" w:sz="0" w:space="0" w:color="auto"/>
            <w:left w:val="none" w:sz="0" w:space="0" w:color="auto"/>
            <w:bottom w:val="none" w:sz="0" w:space="0" w:color="auto"/>
            <w:right w:val="none" w:sz="0" w:space="0" w:color="auto"/>
          </w:divBdr>
        </w:div>
        <w:div w:id="1210073497">
          <w:marLeft w:val="0"/>
          <w:marRight w:val="0"/>
          <w:marTop w:val="0"/>
          <w:marBottom w:val="0"/>
          <w:divBdr>
            <w:top w:val="none" w:sz="0" w:space="0" w:color="auto"/>
            <w:left w:val="none" w:sz="0" w:space="0" w:color="auto"/>
            <w:bottom w:val="none" w:sz="0" w:space="0" w:color="auto"/>
            <w:right w:val="none" w:sz="0" w:space="0" w:color="auto"/>
          </w:divBdr>
        </w:div>
        <w:div w:id="1498838289">
          <w:marLeft w:val="0"/>
          <w:marRight w:val="0"/>
          <w:marTop w:val="0"/>
          <w:marBottom w:val="0"/>
          <w:divBdr>
            <w:top w:val="none" w:sz="0" w:space="0" w:color="auto"/>
            <w:left w:val="none" w:sz="0" w:space="0" w:color="auto"/>
            <w:bottom w:val="none" w:sz="0" w:space="0" w:color="auto"/>
            <w:right w:val="none" w:sz="0" w:space="0" w:color="auto"/>
          </w:divBdr>
        </w:div>
        <w:div w:id="1585802174">
          <w:marLeft w:val="0"/>
          <w:marRight w:val="0"/>
          <w:marTop w:val="0"/>
          <w:marBottom w:val="0"/>
          <w:divBdr>
            <w:top w:val="none" w:sz="0" w:space="0" w:color="auto"/>
            <w:left w:val="none" w:sz="0" w:space="0" w:color="auto"/>
            <w:bottom w:val="none" w:sz="0" w:space="0" w:color="auto"/>
            <w:right w:val="none" w:sz="0" w:space="0" w:color="auto"/>
          </w:divBdr>
        </w:div>
        <w:div w:id="1603956165">
          <w:marLeft w:val="0"/>
          <w:marRight w:val="0"/>
          <w:marTop w:val="0"/>
          <w:marBottom w:val="0"/>
          <w:divBdr>
            <w:top w:val="none" w:sz="0" w:space="0" w:color="auto"/>
            <w:left w:val="none" w:sz="0" w:space="0" w:color="auto"/>
            <w:bottom w:val="none" w:sz="0" w:space="0" w:color="auto"/>
            <w:right w:val="none" w:sz="0" w:space="0" w:color="auto"/>
          </w:divBdr>
        </w:div>
        <w:div w:id="1634292862">
          <w:marLeft w:val="0"/>
          <w:marRight w:val="0"/>
          <w:marTop w:val="0"/>
          <w:marBottom w:val="0"/>
          <w:divBdr>
            <w:top w:val="none" w:sz="0" w:space="0" w:color="auto"/>
            <w:left w:val="none" w:sz="0" w:space="0" w:color="auto"/>
            <w:bottom w:val="none" w:sz="0" w:space="0" w:color="auto"/>
            <w:right w:val="none" w:sz="0" w:space="0" w:color="auto"/>
          </w:divBdr>
        </w:div>
        <w:div w:id="1666203729">
          <w:marLeft w:val="0"/>
          <w:marRight w:val="0"/>
          <w:marTop w:val="0"/>
          <w:marBottom w:val="0"/>
          <w:divBdr>
            <w:top w:val="none" w:sz="0" w:space="0" w:color="auto"/>
            <w:left w:val="none" w:sz="0" w:space="0" w:color="auto"/>
            <w:bottom w:val="none" w:sz="0" w:space="0" w:color="auto"/>
            <w:right w:val="none" w:sz="0" w:space="0" w:color="auto"/>
          </w:divBdr>
        </w:div>
        <w:div w:id="1815288869">
          <w:marLeft w:val="0"/>
          <w:marRight w:val="0"/>
          <w:marTop w:val="0"/>
          <w:marBottom w:val="0"/>
          <w:divBdr>
            <w:top w:val="none" w:sz="0" w:space="0" w:color="auto"/>
            <w:left w:val="none" w:sz="0" w:space="0" w:color="auto"/>
            <w:bottom w:val="none" w:sz="0" w:space="0" w:color="auto"/>
            <w:right w:val="none" w:sz="0" w:space="0" w:color="auto"/>
          </w:divBdr>
        </w:div>
        <w:div w:id="2119139080">
          <w:marLeft w:val="0"/>
          <w:marRight w:val="0"/>
          <w:marTop w:val="0"/>
          <w:marBottom w:val="0"/>
          <w:divBdr>
            <w:top w:val="none" w:sz="0" w:space="0" w:color="auto"/>
            <w:left w:val="none" w:sz="0" w:space="0" w:color="auto"/>
            <w:bottom w:val="none" w:sz="0" w:space="0" w:color="auto"/>
            <w:right w:val="none" w:sz="0" w:space="0" w:color="auto"/>
          </w:divBdr>
        </w:div>
      </w:divsChild>
    </w:div>
  </w:divs>
  <w:encoding w:val="shift_ji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27.sv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svg"/><Relationship Id="rId50" Type="http://schemas.openxmlformats.org/officeDocument/2006/relationships/image" Target="media/image38.png"/><Relationship Id="rId55" Type="http://schemas.openxmlformats.org/officeDocument/2006/relationships/image" Target="media/image43.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svg"/><Relationship Id="rId32" Type="http://schemas.openxmlformats.org/officeDocument/2006/relationships/image" Target="media/image20.png"/><Relationship Id="rId37" Type="http://schemas.openxmlformats.org/officeDocument/2006/relationships/image" Target="media/image25.svg"/><Relationship Id="rId40" Type="http://schemas.openxmlformats.org/officeDocument/2006/relationships/image" Target="media/image28.png"/><Relationship Id="rId45" Type="http://schemas.openxmlformats.org/officeDocument/2006/relationships/image" Target="media/image33.svg"/><Relationship Id="rId53" Type="http://schemas.openxmlformats.org/officeDocument/2006/relationships/image" Target="media/image41.sv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svg"/><Relationship Id="rId43" Type="http://schemas.openxmlformats.org/officeDocument/2006/relationships/image" Target="media/image31.svg"/><Relationship Id="rId48" Type="http://schemas.openxmlformats.org/officeDocument/2006/relationships/image" Target="media/image36.png"/><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9.sv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sv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8.svg"/><Relationship Id="rId41" Type="http://schemas.openxmlformats.org/officeDocument/2006/relationships/image" Target="media/image29.sv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png"/><Relationship Id="rId49" Type="http://schemas.openxmlformats.org/officeDocument/2006/relationships/image" Target="media/image37.svg"/><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image" Target="media/image19.svg"/><Relationship Id="rId44" Type="http://schemas.openxmlformats.org/officeDocument/2006/relationships/image" Target="media/image32.pn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A3171-01E9-4E50-AB5A-7ADBCCDCE5AB}">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58</Pages>
  <Words>15790</Words>
  <Characters>96564</Characters>
  <Application>Microsoft Office Word</Application>
  <DocSecurity>0</DocSecurity>
  <Lines>804</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112130</CharactersWithSpaces>
  <SharedDoc>false</SharedDoc>
  <HLinks>
    <vt:vector size="240" baseType="variant">
      <vt:variant>
        <vt:i4>1048624</vt:i4>
      </vt:variant>
      <vt:variant>
        <vt:i4>236</vt:i4>
      </vt:variant>
      <vt:variant>
        <vt:i4>0</vt:i4>
      </vt:variant>
      <vt:variant>
        <vt:i4>5</vt:i4>
      </vt:variant>
      <vt:variant>
        <vt:lpwstr/>
      </vt:variant>
      <vt:variant>
        <vt:lpwstr>_Toc201662535</vt:lpwstr>
      </vt:variant>
      <vt:variant>
        <vt:i4>1048624</vt:i4>
      </vt:variant>
      <vt:variant>
        <vt:i4>230</vt:i4>
      </vt:variant>
      <vt:variant>
        <vt:i4>0</vt:i4>
      </vt:variant>
      <vt:variant>
        <vt:i4>5</vt:i4>
      </vt:variant>
      <vt:variant>
        <vt:lpwstr/>
      </vt:variant>
      <vt:variant>
        <vt:lpwstr>_Toc201662534</vt:lpwstr>
      </vt:variant>
      <vt:variant>
        <vt:i4>1048624</vt:i4>
      </vt:variant>
      <vt:variant>
        <vt:i4>224</vt:i4>
      </vt:variant>
      <vt:variant>
        <vt:i4>0</vt:i4>
      </vt:variant>
      <vt:variant>
        <vt:i4>5</vt:i4>
      </vt:variant>
      <vt:variant>
        <vt:lpwstr/>
      </vt:variant>
      <vt:variant>
        <vt:lpwstr>_Toc201662533</vt:lpwstr>
      </vt:variant>
      <vt:variant>
        <vt:i4>1048624</vt:i4>
      </vt:variant>
      <vt:variant>
        <vt:i4>218</vt:i4>
      </vt:variant>
      <vt:variant>
        <vt:i4>0</vt:i4>
      </vt:variant>
      <vt:variant>
        <vt:i4>5</vt:i4>
      </vt:variant>
      <vt:variant>
        <vt:lpwstr/>
      </vt:variant>
      <vt:variant>
        <vt:lpwstr>_Toc201662532</vt:lpwstr>
      </vt:variant>
      <vt:variant>
        <vt:i4>1048624</vt:i4>
      </vt:variant>
      <vt:variant>
        <vt:i4>212</vt:i4>
      </vt:variant>
      <vt:variant>
        <vt:i4>0</vt:i4>
      </vt:variant>
      <vt:variant>
        <vt:i4>5</vt:i4>
      </vt:variant>
      <vt:variant>
        <vt:lpwstr/>
      </vt:variant>
      <vt:variant>
        <vt:lpwstr>_Toc201662531</vt:lpwstr>
      </vt:variant>
      <vt:variant>
        <vt:i4>1048624</vt:i4>
      </vt:variant>
      <vt:variant>
        <vt:i4>206</vt:i4>
      </vt:variant>
      <vt:variant>
        <vt:i4>0</vt:i4>
      </vt:variant>
      <vt:variant>
        <vt:i4>5</vt:i4>
      </vt:variant>
      <vt:variant>
        <vt:lpwstr/>
      </vt:variant>
      <vt:variant>
        <vt:lpwstr>_Toc201662530</vt:lpwstr>
      </vt:variant>
      <vt:variant>
        <vt:i4>1114160</vt:i4>
      </vt:variant>
      <vt:variant>
        <vt:i4>200</vt:i4>
      </vt:variant>
      <vt:variant>
        <vt:i4>0</vt:i4>
      </vt:variant>
      <vt:variant>
        <vt:i4>5</vt:i4>
      </vt:variant>
      <vt:variant>
        <vt:lpwstr/>
      </vt:variant>
      <vt:variant>
        <vt:lpwstr>_Toc201662529</vt:lpwstr>
      </vt:variant>
      <vt:variant>
        <vt:i4>1114160</vt:i4>
      </vt:variant>
      <vt:variant>
        <vt:i4>194</vt:i4>
      </vt:variant>
      <vt:variant>
        <vt:i4>0</vt:i4>
      </vt:variant>
      <vt:variant>
        <vt:i4>5</vt:i4>
      </vt:variant>
      <vt:variant>
        <vt:lpwstr/>
      </vt:variant>
      <vt:variant>
        <vt:lpwstr>_Toc201662528</vt:lpwstr>
      </vt:variant>
      <vt:variant>
        <vt:i4>1114160</vt:i4>
      </vt:variant>
      <vt:variant>
        <vt:i4>188</vt:i4>
      </vt:variant>
      <vt:variant>
        <vt:i4>0</vt:i4>
      </vt:variant>
      <vt:variant>
        <vt:i4>5</vt:i4>
      </vt:variant>
      <vt:variant>
        <vt:lpwstr/>
      </vt:variant>
      <vt:variant>
        <vt:lpwstr>_Toc201662527</vt:lpwstr>
      </vt:variant>
      <vt:variant>
        <vt:i4>1114160</vt:i4>
      </vt:variant>
      <vt:variant>
        <vt:i4>182</vt:i4>
      </vt:variant>
      <vt:variant>
        <vt:i4>0</vt:i4>
      </vt:variant>
      <vt:variant>
        <vt:i4>5</vt:i4>
      </vt:variant>
      <vt:variant>
        <vt:lpwstr/>
      </vt:variant>
      <vt:variant>
        <vt:lpwstr>_Toc201662526</vt:lpwstr>
      </vt:variant>
      <vt:variant>
        <vt:i4>1114160</vt:i4>
      </vt:variant>
      <vt:variant>
        <vt:i4>176</vt:i4>
      </vt:variant>
      <vt:variant>
        <vt:i4>0</vt:i4>
      </vt:variant>
      <vt:variant>
        <vt:i4>5</vt:i4>
      </vt:variant>
      <vt:variant>
        <vt:lpwstr/>
      </vt:variant>
      <vt:variant>
        <vt:lpwstr>_Toc201662525</vt:lpwstr>
      </vt:variant>
      <vt:variant>
        <vt:i4>1114160</vt:i4>
      </vt:variant>
      <vt:variant>
        <vt:i4>170</vt:i4>
      </vt:variant>
      <vt:variant>
        <vt:i4>0</vt:i4>
      </vt:variant>
      <vt:variant>
        <vt:i4>5</vt:i4>
      </vt:variant>
      <vt:variant>
        <vt:lpwstr/>
      </vt:variant>
      <vt:variant>
        <vt:lpwstr>_Toc201662524</vt:lpwstr>
      </vt:variant>
      <vt:variant>
        <vt:i4>1114160</vt:i4>
      </vt:variant>
      <vt:variant>
        <vt:i4>164</vt:i4>
      </vt:variant>
      <vt:variant>
        <vt:i4>0</vt:i4>
      </vt:variant>
      <vt:variant>
        <vt:i4>5</vt:i4>
      </vt:variant>
      <vt:variant>
        <vt:lpwstr/>
      </vt:variant>
      <vt:variant>
        <vt:lpwstr>_Toc201662523</vt:lpwstr>
      </vt:variant>
      <vt:variant>
        <vt:i4>1114160</vt:i4>
      </vt:variant>
      <vt:variant>
        <vt:i4>158</vt:i4>
      </vt:variant>
      <vt:variant>
        <vt:i4>0</vt:i4>
      </vt:variant>
      <vt:variant>
        <vt:i4>5</vt:i4>
      </vt:variant>
      <vt:variant>
        <vt:lpwstr/>
      </vt:variant>
      <vt:variant>
        <vt:lpwstr>_Toc201662522</vt:lpwstr>
      </vt:variant>
      <vt:variant>
        <vt:i4>1114160</vt:i4>
      </vt:variant>
      <vt:variant>
        <vt:i4>152</vt:i4>
      </vt:variant>
      <vt:variant>
        <vt:i4>0</vt:i4>
      </vt:variant>
      <vt:variant>
        <vt:i4>5</vt:i4>
      </vt:variant>
      <vt:variant>
        <vt:lpwstr/>
      </vt:variant>
      <vt:variant>
        <vt:lpwstr>_Toc201662521</vt:lpwstr>
      </vt:variant>
      <vt:variant>
        <vt:i4>1114160</vt:i4>
      </vt:variant>
      <vt:variant>
        <vt:i4>146</vt:i4>
      </vt:variant>
      <vt:variant>
        <vt:i4>0</vt:i4>
      </vt:variant>
      <vt:variant>
        <vt:i4>5</vt:i4>
      </vt:variant>
      <vt:variant>
        <vt:lpwstr/>
      </vt:variant>
      <vt:variant>
        <vt:lpwstr>_Toc201662520</vt:lpwstr>
      </vt:variant>
      <vt:variant>
        <vt:i4>1179696</vt:i4>
      </vt:variant>
      <vt:variant>
        <vt:i4>140</vt:i4>
      </vt:variant>
      <vt:variant>
        <vt:i4>0</vt:i4>
      </vt:variant>
      <vt:variant>
        <vt:i4>5</vt:i4>
      </vt:variant>
      <vt:variant>
        <vt:lpwstr/>
      </vt:variant>
      <vt:variant>
        <vt:lpwstr>_Toc201662519</vt:lpwstr>
      </vt:variant>
      <vt:variant>
        <vt:i4>1179696</vt:i4>
      </vt:variant>
      <vt:variant>
        <vt:i4>134</vt:i4>
      </vt:variant>
      <vt:variant>
        <vt:i4>0</vt:i4>
      </vt:variant>
      <vt:variant>
        <vt:i4>5</vt:i4>
      </vt:variant>
      <vt:variant>
        <vt:lpwstr/>
      </vt:variant>
      <vt:variant>
        <vt:lpwstr>_Toc201662518</vt:lpwstr>
      </vt:variant>
      <vt:variant>
        <vt:i4>1179696</vt:i4>
      </vt:variant>
      <vt:variant>
        <vt:i4>128</vt:i4>
      </vt:variant>
      <vt:variant>
        <vt:i4>0</vt:i4>
      </vt:variant>
      <vt:variant>
        <vt:i4>5</vt:i4>
      </vt:variant>
      <vt:variant>
        <vt:lpwstr/>
      </vt:variant>
      <vt:variant>
        <vt:lpwstr>_Toc201662517</vt:lpwstr>
      </vt:variant>
      <vt:variant>
        <vt:i4>1179696</vt:i4>
      </vt:variant>
      <vt:variant>
        <vt:i4>122</vt:i4>
      </vt:variant>
      <vt:variant>
        <vt:i4>0</vt:i4>
      </vt:variant>
      <vt:variant>
        <vt:i4>5</vt:i4>
      </vt:variant>
      <vt:variant>
        <vt:lpwstr/>
      </vt:variant>
      <vt:variant>
        <vt:lpwstr>_Toc201662516</vt:lpwstr>
      </vt:variant>
      <vt:variant>
        <vt:i4>1179696</vt:i4>
      </vt:variant>
      <vt:variant>
        <vt:i4>116</vt:i4>
      </vt:variant>
      <vt:variant>
        <vt:i4>0</vt:i4>
      </vt:variant>
      <vt:variant>
        <vt:i4>5</vt:i4>
      </vt:variant>
      <vt:variant>
        <vt:lpwstr/>
      </vt:variant>
      <vt:variant>
        <vt:lpwstr>_Toc201662515</vt:lpwstr>
      </vt:variant>
      <vt:variant>
        <vt:i4>1179696</vt:i4>
      </vt:variant>
      <vt:variant>
        <vt:i4>110</vt:i4>
      </vt:variant>
      <vt:variant>
        <vt:i4>0</vt:i4>
      </vt:variant>
      <vt:variant>
        <vt:i4>5</vt:i4>
      </vt:variant>
      <vt:variant>
        <vt:lpwstr/>
      </vt:variant>
      <vt:variant>
        <vt:lpwstr>_Toc201662514</vt:lpwstr>
      </vt:variant>
      <vt:variant>
        <vt:i4>1179696</vt:i4>
      </vt:variant>
      <vt:variant>
        <vt:i4>104</vt:i4>
      </vt:variant>
      <vt:variant>
        <vt:i4>0</vt:i4>
      </vt:variant>
      <vt:variant>
        <vt:i4>5</vt:i4>
      </vt:variant>
      <vt:variant>
        <vt:lpwstr/>
      </vt:variant>
      <vt:variant>
        <vt:lpwstr>_Toc201662513</vt:lpwstr>
      </vt:variant>
      <vt:variant>
        <vt:i4>1179696</vt:i4>
      </vt:variant>
      <vt:variant>
        <vt:i4>98</vt:i4>
      </vt:variant>
      <vt:variant>
        <vt:i4>0</vt:i4>
      </vt:variant>
      <vt:variant>
        <vt:i4>5</vt:i4>
      </vt:variant>
      <vt:variant>
        <vt:lpwstr/>
      </vt:variant>
      <vt:variant>
        <vt:lpwstr>_Toc201662512</vt:lpwstr>
      </vt:variant>
      <vt:variant>
        <vt:i4>1179696</vt:i4>
      </vt:variant>
      <vt:variant>
        <vt:i4>92</vt:i4>
      </vt:variant>
      <vt:variant>
        <vt:i4>0</vt:i4>
      </vt:variant>
      <vt:variant>
        <vt:i4>5</vt:i4>
      </vt:variant>
      <vt:variant>
        <vt:lpwstr/>
      </vt:variant>
      <vt:variant>
        <vt:lpwstr>_Toc201662511</vt:lpwstr>
      </vt:variant>
      <vt:variant>
        <vt:i4>1179696</vt:i4>
      </vt:variant>
      <vt:variant>
        <vt:i4>86</vt:i4>
      </vt:variant>
      <vt:variant>
        <vt:i4>0</vt:i4>
      </vt:variant>
      <vt:variant>
        <vt:i4>5</vt:i4>
      </vt:variant>
      <vt:variant>
        <vt:lpwstr/>
      </vt:variant>
      <vt:variant>
        <vt:lpwstr>_Toc201662510</vt:lpwstr>
      </vt:variant>
      <vt:variant>
        <vt:i4>1245232</vt:i4>
      </vt:variant>
      <vt:variant>
        <vt:i4>80</vt:i4>
      </vt:variant>
      <vt:variant>
        <vt:i4>0</vt:i4>
      </vt:variant>
      <vt:variant>
        <vt:i4>5</vt:i4>
      </vt:variant>
      <vt:variant>
        <vt:lpwstr/>
      </vt:variant>
      <vt:variant>
        <vt:lpwstr>_Toc201662509</vt:lpwstr>
      </vt:variant>
      <vt:variant>
        <vt:i4>1245232</vt:i4>
      </vt:variant>
      <vt:variant>
        <vt:i4>74</vt:i4>
      </vt:variant>
      <vt:variant>
        <vt:i4>0</vt:i4>
      </vt:variant>
      <vt:variant>
        <vt:i4>5</vt:i4>
      </vt:variant>
      <vt:variant>
        <vt:lpwstr/>
      </vt:variant>
      <vt:variant>
        <vt:lpwstr>_Toc201662508</vt:lpwstr>
      </vt:variant>
      <vt:variant>
        <vt:i4>1245232</vt:i4>
      </vt:variant>
      <vt:variant>
        <vt:i4>68</vt:i4>
      </vt:variant>
      <vt:variant>
        <vt:i4>0</vt:i4>
      </vt:variant>
      <vt:variant>
        <vt:i4>5</vt:i4>
      </vt:variant>
      <vt:variant>
        <vt:lpwstr/>
      </vt:variant>
      <vt:variant>
        <vt:lpwstr>_Toc201662507</vt:lpwstr>
      </vt:variant>
      <vt:variant>
        <vt:i4>1245232</vt:i4>
      </vt:variant>
      <vt:variant>
        <vt:i4>62</vt:i4>
      </vt:variant>
      <vt:variant>
        <vt:i4>0</vt:i4>
      </vt:variant>
      <vt:variant>
        <vt:i4>5</vt:i4>
      </vt:variant>
      <vt:variant>
        <vt:lpwstr/>
      </vt:variant>
      <vt:variant>
        <vt:lpwstr>_Toc201662506</vt:lpwstr>
      </vt:variant>
      <vt:variant>
        <vt:i4>1245232</vt:i4>
      </vt:variant>
      <vt:variant>
        <vt:i4>56</vt:i4>
      </vt:variant>
      <vt:variant>
        <vt:i4>0</vt:i4>
      </vt:variant>
      <vt:variant>
        <vt:i4>5</vt:i4>
      </vt:variant>
      <vt:variant>
        <vt:lpwstr/>
      </vt:variant>
      <vt:variant>
        <vt:lpwstr>_Toc201662505</vt:lpwstr>
      </vt:variant>
      <vt:variant>
        <vt:i4>1245232</vt:i4>
      </vt:variant>
      <vt:variant>
        <vt:i4>50</vt:i4>
      </vt:variant>
      <vt:variant>
        <vt:i4>0</vt:i4>
      </vt:variant>
      <vt:variant>
        <vt:i4>5</vt:i4>
      </vt:variant>
      <vt:variant>
        <vt:lpwstr/>
      </vt:variant>
      <vt:variant>
        <vt:lpwstr>_Toc201662504</vt:lpwstr>
      </vt:variant>
      <vt:variant>
        <vt:i4>1245232</vt:i4>
      </vt:variant>
      <vt:variant>
        <vt:i4>44</vt:i4>
      </vt:variant>
      <vt:variant>
        <vt:i4>0</vt:i4>
      </vt:variant>
      <vt:variant>
        <vt:i4>5</vt:i4>
      </vt:variant>
      <vt:variant>
        <vt:lpwstr/>
      </vt:variant>
      <vt:variant>
        <vt:lpwstr>_Toc201662503</vt:lpwstr>
      </vt:variant>
      <vt:variant>
        <vt:i4>1245232</vt:i4>
      </vt:variant>
      <vt:variant>
        <vt:i4>38</vt:i4>
      </vt:variant>
      <vt:variant>
        <vt:i4>0</vt:i4>
      </vt:variant>
      <vt:variant>
        <vt:i4>5</vt:i4>
      </vt:variant>
      <vt:variant>
        <vt:lpwstr/>
      </vt:variant>
      <vt:variant>
        <vt:lpwstr>_Toc201662502</vt:lpwstr>
      </vt:variant>
      <vt:variant>
        <vt:i4>1245232</vt:i4>
      </vt:variant>
      <vt:variant>
        <vt:i4>32</vt:i4>
      </vt:variant>
      <vt:variant>
        <vt:i4>0</vt:i4>
      </vt:variant>
      <vt:variant>
        <vt:i4>5</vt:i4>
      </vt:variant>
      <vt:variant>
        <vt:lpwstr/>
      </vt:variant>
      <vt:variant>
        <vt:lpwstr>_Toc201662501</vt:lpwstr>
      </vt:variant>
      <vt:variant>
        <vt:i4>1245232</vt:i4>
      </vt:variant>
      <vt:variant>
        <vt:i4>26</vt:i4>
      </vt:variant>
      <vt:variant>
        <vt:i4>0</vt:i4>
      </vt:variant>
      <vt:variant>
        <vt:i4>5</vt:i4>
      </vt:variant>
      <vt:variant>
        <vt:lpwstr/>
      </vt:variant>
      <vt:variant>
        <vt:lpwstr>_Toc201662500</vt:lpwstr>
      </vt:variant>
      <vt:variant>
        <vt:i4>1703985</vt:i4>
      </vt:variant>
      <vt:variant>
        <vt:i4>20</vt:i4>
      </vt:variant>
      <vt:variant>
        <vt:i4>0</vt:i4>
      </vt:variant>
      <vt:variant>
        <vt:i4>5</vt:i4>
      </vt:variant>
      <vt:variant>
        <vt:lpwstr/>
      </vt:variant>
      <vt:variant>
        <vt:lpwstr>_Toc201662499</vt:lpwstr>
      </vt:variant>
      <vt:variant>
        <vt:i4>1703985</vt:i4>
      </vt:variant>
      <vt:variant>
        <vt:i4>14</vt:i4>
      </vt:variant>
      <vt:variant>
        <vt:i4>0</vt:i4>
      </vt:variant>
      <vt:variant>
        <vt:i4>5</vt:i4>
      </vt:variant>
      <vt:variant>
        <vt:lpwstr/>
      </vt:variant>
      <vt:variant>
        <vt:lpwstr>_Toc201662498</vt:lpwstr>
      </vt:variant>
      <vt:variant>
        <vt:i4>1703985</vt:i4>
      </vt:variant>
      <vt:variant>
        <vt:i4>8</vt:i4>
      </vt:variant>
      <vt:variant>
        <vt:i4>0</vt:i4>
      </vt:variant>
      <vt:variant>
        <vt:i4>5</vt:i4>
      </vt:variant>
      <vt:variant>
        <vt:lpwstr/>
      </vt:variant>
      <vt:variant>
        <vt:lpwstr>_Toc201662497</vt:lpwstr>
      </vt:variant>
      <vt:variant>
        <vt:i4>1703985</vt:i4>
      </vt:variant>
      <vt:variant>
        <vt:i4>2</vt:i4>
      </vt:variant>
      <vt:variant>
        <vt:i4>0</vt:i4>
      </vt:variant>
      <vt:variant>
        <vt:i4>5</vt:i4>
      </vt:variant>
      <vt:variant>
        <vt:lpwstr/>
      </vt:variant>
      <vt:variant>
        <vt:lpwstr>_Toc201662496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2025-07-25T09:53:00Z</dcterms:created>
  <dcterms:modified xsi:type="dcterms:W3CDTF">2025-08-06T10:11:00Z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03baa718-2ad2-4bc7-9f90-0c1113e087a6</vt:lpwstr>
  </property>
</Properties>
</file>